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000000"/>
          <w:sz w:val="32"/>
          <w:szCs w:val="32"/>
          <w:lang w:val="en-US" w:eastAsia="zh-CN"/>
          <w:rPrChange w:id="0" w:author="俞薇" w:date="2021-03-16T14:01:48Z">
            <w:rPr>
              <w:rFonts w:hint="eastAsia" w:ascii="仿宋" w:hAnsi="仿宋" w:eastAsia="仿宋" w:cs="仿宋"/>
              <w:b/>
              <w:bCs/>
              <w:color w:val="000000"/>
              <w:sz w:val="32"/>
              <w:szCs w:val="32"/>
              <w:lang w:val="en-US" w:eastAsia="zh-CN"/>
            </w:rPr>
          </w:rPrChange>
        </w:rPr>
      </w:pPr>
      <w:bookmarkStart w:id="0" w:name="_GoBack"/>
      <w:bookmarkEnd w:id="0"/>
      <w:r>
        <w:rPr>
          <w:rFonts w:hint="eastAsia" w:ascii="黑体" w:hAnsi="黑体" w:eastAsia="黑体" w:cs="黑体"/>
          <w:b w:val="0"/>
          <w:bCs w:val="0"/>
          <w:color w:val="000000"/>
          <w:sz w:val="32"/>
          <w:szCs w:val="32"/>
          <w:lang w:val="en-US" w:eastAsia="zh-CN"/>
          <w:rPrChange w:id="1" w:author="俞薇" w:date="2021-03-16T14:01:48Z">
            <w:rPr>
              <w:rFonts w:hint="eastAsia" w:ascii="仿宋" w:hAnsi="仿宋" w:eastAsia="仿宋" w:cs="仿宋"/>
              <w:b/>
              <w:bCs/>
              <w:color w:val="000000"/>
              <w:sz w:val="32"/>
              <w:szCs w:val="32"/>
              <w:lang w:val="en-US" w:eastAsia="zh-CN"/>
            </w:rPr>
          </w:rPrChange>
        </w:rPr>
        <w:t>附件2</w:t>
      </w:r>
    </w:p>
    <w:p>
      <w:pPr>
        <w:jc w:val="center"/>
        <w:rPr>
          <w:rFonts w:hint="eastAsia" w:ascii="宋体" w:hAnsi="宋体" w:cs="宋体"/>
          <w:b/>
          <w:bCs/>
          <w:color w:val="000000"/>
          <w:sz w:val="36"/>
          <w:szCs w:val="36"/>
        </w:rPr>
      </w:pPr>
      <w:r>
        <w:rPr>
          <w:rFonts w:hint="eastAsia" w:ascii="宋体" w:hAnsi="宋体" w:cs="宋体"/>
          <w:b/>
          <w:bCs/>
          <w:color w:val="000000"/>
          <w:sz w:val="36"/>
          <w:szCs w:val="36"/>
        </w:rPr>
        <w:t>报价承诺表</w:t>
      </w:r>
    </w:p>
    <w:p>
      <w:pPr>
        <w:jc w:val="center"/>
        <w:rPr>
          <w:rFonts w:hint="eastAsia" w:ascii="宋体" w:hAnsi="宋体" w:cs="宋体"/>
          <w:b/>
          <w:bCs/>
          <w:color w:val="000000"/>
          <w:sz w:val="36"/>
          <w:szCs w:val="36"/>
        </w:rPr>
      </w:pPr>
    </w:p>
    <w:tbl>
      <w:tblPr>
        <w:tblStyle w:val="3"/>
        <w:tblW w:w="14159" w:type="dxa"/>
        <w:tblInd w:w="91" w:type="dxa"/>
        <w:tblLayout w:type="fixed"/>
        <w:tblCellMar>
          <w:top w:w="0" w:type="dxa"/>
          <w:left w:w="108" w:type="dxa"/>
          <w:bottom w:w="0" w:type="dxa"/>
          <w:right w:w="108" w:type="dxa"/>
        </w:tblCellMar>
      </w:tblPr>
      <w:tblGrid>
        <w:gridCol w:w="1319"/>
        <w:gridCol w:w="5085"/>
        <w:gridCol w:w="1097"/>
        <w:gridCol w:w="3013"/>
        <w:gridCol w:w="3645"/>
      </w:tblGrid>
      <w:tr>
        <w:tblPrEx>
          <w:tblLayout w:type="fixed"/>
          <w:tblCellMar>
            <w:top w:w="0" w:type="dxa"/>
            <w:left w:w="108" w:type="dxa"/>
            <w:bottom w:w="0" w:type="dxa"/>
            <w:right w:w="108" w:type="dxa"/>
          </w:tblCellMar>
        </w:tblPrEx>
        <w:trPr>
          <w:trHeight w:val="352" w:hRule="atLeast"/>
        </w:trPr>
        <w:tc>
          <w:tcPr>
            <w:tcW w:w="64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出险情况</w:t>
            </w:r>
          </w:p>
        </w:tc>
        <w:tc>
          <w:tcPr>
            <w:tcW w:w="1097" w:type="dxa"/>
            <w:vMerge w:val="restart"/>
            <w:tcBorders>
              <w:top w:val="single" w:color="auto" w:sz="4" w:space="0"/>
              <w:left w:val="nil"/>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自主定价系数</w:t>
            </w:r>
          </w:p>
        </w:tc>
        <w:tc>
          <w:tcPr>
            <w:tcW w:w="3013" w:type="dxa"/>
            <w:vMerge w:val="restart"/>
            <w:tcBorders>
              <w:top w:val="single" w:color="auto" w:sz="4" w:space="0"/>
              <w:left w:val="nil"/>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无赔款优待系数（NCD）</w:t>
            </w:r>
          </w:p>
        </w:tc>
        <w:tc>
          <w:tcPr>
            <w:tcW w:w="3645" w:type="dxa"/>
            <w:vMerge w:val="restart"/>
            <w:tcBorders>
              <w:top w:val="single" w:color="auto" w:sz="4" w:space="0"/>
              <w:left w:val="nil"/>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费率调整系数(最终折扣)</w:t>
            </w:r>
          </w:p>
        </w:tc>
      </w:tr>
      <w:tr>
        <w:tblPrEx>
          <w:tblLayout w:type="fixed"/>
          <w:tblCellMar>
            <w:top w:w="0" w:type="dxa"/>
            <w:left w:w="108" w:type="dxa"/>
            <w:bottom w:w="0" w:type="dxa"/>
            <w:right w:w="108" w:type="dxa"/>
          </w:tblCellMar>
        </w:tblPrEx>
        <w:trPr>
          <w:trHeight w:val="350" w:hRule="atLeast"/>
        </w:trPr>
        <w:tc>
          <w:tcPr>
            <w:tcW w:w="13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NCD</w:t>
            </w:r>
            <w:r>
              <w:rPr>
                <w:rFonts w:hint="eastAsia" w:ascii="宋体" w:hAnsi="宋体" w:cs="宋体"/>
                <w:color w:val="auto"/>
                <w:kern w:val="0"/>
                <w:sz w:val="24"/>
                <w:szCs w:val="24"/>
                <w:lang w:val="en-US" w:eastAsia="zh-CN"/>
              </w:rPr>
              <w:t>等</w:t>
            </w:r>
            <w:r>
              <w:rPr>
                <w:rFonts w:hint="eastAsia" w:ascii="宋体" w:hAnsi="宋体" w:cs="宋体"/>
                <w:color w:val="auto"/>
                <w:kern w:val="0"/>
                <w:sz w:val="24"/>
                <w:szCs w:val="24"/>
              </w:rPr>
              <w:t>级</w:t>
            </w:r>
          </w:p>
        </w:tc>
        <w:tc>
          <w:tcPr>
            <w:tcW w:w="50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对应出险情况</w:t>
            </w:r>
            <w:r>
              <w:rPr>
                <w:rFonts w:hint="eastAsia" w:ascii="宋体" w:hAnsi="宋体" w:cs="宋体"/>
                <w:color w:val="auto"/>
                <w:kern w:val="0"/>
                <w:sz w:val="24"/>
                <w:szCs w:val="24"/>
                <w:lang w:eastAsia="zh-CN"/>
              </w:rPr>
              <w:t>（时间、出现次数）</w:t>
            </w:r>
          </w:p>
        </w:tc>
        <w:tc>
          <w:tcPr>
            <w:tcW w:w="1097" w:type="dxa"/>
            <w:vMerge w:val="continue"/>
            <w:tcBorders>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lang w:eastAsia="zh-CN"/>
              </w:rPr>
            </w:pPr>
          </w:p>
        </w:tc>
        <w:tc>
          <w:tcPr>
            <w:tcW w:w="3013" w:type="dxa"/>
            <w:vMerge w:val="continue"/>
            <w:tcBorders>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p>
        </w:tc>
        <w:tc>
          <w:tcPr>
            <w:tcW w:w="3645" w:type="dxa"/>
            <w:vMerge w:val="continue"/>
            <w:tcBorders>
              <w:left w:val="nil"/>
              <w:bottom w:val="single" w:color="auto" w:sz="4" w:space="0"/>
              <w:right w:val="single" w:color="auto" w:sz="4" w:space="0"/>
            </w:tcBorders>
            <w:vAlign w:val="center"/>
          </w:tcPr>
          <w:p>
            <w:pPr>
              <w:widowControl/>
              <w:jc w:val="center"/>
              <w:rPr>
                <w:rFonts w:hint="eastAsia" w:ascii="宋体" w:hAnsi="宋体" w:cs="宋体"/>
                <w:color w:val="auto"/>
                <w:kern w:val="0"/>
                <w:sz w:val="24"/>
                <w:szCs w:val="24"/>
              </w:rPr>
            </w:pP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4年（含）以上</w:t>
            </w:r>
            <w:r>
              <w:rPr>
                <w:rFonts w:hint="eastAsia" w:ascii="宋体" w:hAnsi="宋体" w:cs="宋体"/>
                <w:color w:val="auto"/>
                <w:kern w:val="0"/>
                <w:sz w:val="24"/>
                <w:szCs w:val="24"/>
              </w:rPr>
              <w:t>没有</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0.5</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0.325</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3年</w:t>
            </w:r>
            <w:r>
              <w:rPr>
                <w:rFonts w:hint="eastAsia" w:ascii="宋体" w:hAnsi="宋体" w:cs="宋体"/>
                <w:color w:val="auto"/>
                <w:kern w:val="0"/>
                <w:sz w:val="24"/>
                <w:szCs w:val="24"/>
              </w:rPr>
              <w:t>没有</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0.6</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0.390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2年</w:t>
            </w:r>
            <w:r>
              <w:rPr>
                <w:rFonts w:hint="eastAsia" w:ascii="宋体" w:hAnsi="宋体" w:cs="宋体"/>
                <w:color w:val="auto"/>
                <w:kern w:val="0"/>
                <w:sz w:val="24"/>
                <w:szCs w:val="24"/>
              </w:rPr>
              <w:t>没有</w:t>
            </w:r>
            <w:r>
              <w:rPr>
                <w:rFonts w:hint="eastAsia" w:ascii="宋体" w:hAnsi="宋体" w:cs="宋体"/>
                <w:color w:val="auto"/>
                <w:kern w:val="0"/>
                <w:sz w:val="24"/>
                <w:szCs w:val="24"/>
                <w:lang w:eastAsia="zh-CN"/>
              </w:rPr>
              <w:t>或3年1次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0.7</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0.455</w:t>
            </w:r>
          </w:p>
        </w:tc>
      </w:tr>
      <w:tr>
        <w:tblPrEx>
          <w:tblLayout w:type="fixed"/>
          <w:tblCellMar>
            <w:top w:w="0" w:type="dxa"/>
            <w:left w:w="108" w:type="dxa"/>
            <w:bottom w:w="0" w:type="dxa"/>
            <w:right w:w="108" w:type="dxa"/>
          </w:tblCellMar>
        </w:tblPrEx>
        <w:trPr>
          <w:trHeight w:val="344"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上一年</w:t>
            </w:r>
            <w:r>
              <w:rPr>
                <w:rFonts w:hint="eastAsia" w:ascii="宋体" w:hAnsi="宋体" w:cs="宋体"/>
                <w:color w:val="auto"/>
                <w:kern w:val="0"/>
                <w:sz w:val="24"/>
                <w:szCs w:val="24"/>
              </w:rPr>
              <w:t>没有</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bidi="ar-SA"/>
              </w:rPr>
              <w:t>或2年1次、或3年2次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0.8</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0.520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新车、或1年1次、或2年2次、或3年3次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0.650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1年2次、或2年3次、或3年4次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1.2</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0.780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1年3次、或2年4次、或3年5次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1.4</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0.910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1年4次、或2年5次、或3年6次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1.6</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1.040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1年5次、或2年6次、或3年7次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1.8</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1.170</w:t>
            </w:r>
          </w:p>
        </w:tc>
      </w:tr>
      <w:tr>
        <w:tblPrEx>
          <w:tblLayout w:type="fixed"/>
          <w:tblCellMar>
            <w:top w:w="0" w:type="dxa"/>
            <w:left w:w="108" w:type="dxa"/>
            <w:bottom w:w="0" w:type="dxa"/>
            <w:right w:w="108" w:type="dxa"/>
          </w:tblCellMar>
        </w:tblPrEx>
        <w:trPr>
          <w:trHeight w:val="350" w:hRule="atLeast"/>
        </w:trPr>
        <w:tc>
          <w:tcPr>
            <w:tcW w:w="131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50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1年6次、或2年7次、或3年8次</w:t>
            </w:r>
          </w:p>
        </w:tc>
        <w:tc>
          <w:tcPr>
            <w:tcW w:w="1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0.65</w:t>
            </w:r>
          </w:p>
        </w:tc>
        <w:tc>
          <w:tcPr>
            <w:tcW w:w="30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2</w:t>
            </w:r>
          </w:p>
        </w:tc>
        <w:tc>
          <w:tcPr>
            <w:tcW w:w="36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1.300</w:t>
            </w:r>
          </w:p>
        </w:tc>
      </w:tr>
    </w:tbl>
    <w:p>
      <w:pPr>
        <w:widowControl/>
        <w:jc w:val="left"/>
        <w:rPr>
          <w:rFonts w:hint="eastAsia" w:ascii="宋体" w:hAnsi="宋体" w:cs="宋体"/>
          <w:color w:val="000000"/>
          <w:kern w:val="0"/>
          <w:szCs w:val="21"/>
        </w:rPr>
      </w:pPr>
      <w:r>
        <w:rPr>
          <w:rFonts w:hint="eastAsia" w:ascii="宋体" w:hAnsi="宋体" w:cs="宋体"/>
          <w:color w:val="auto"/>
          <w:kern w:val="0"/>
          <w:sz w:val="20"/>
          <w:szCs w:val="20"/>
        </w:rPr>
        <w:t>备注：</w:t>
      </w:r>
    </w:p>
    <w:p>
      <w:pPr>
        <w:widowControl/>
        <w:snapToGrid w:val="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1.本保险折扣率适用于本次所有入围保险机构。</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费率调整系数=无赔款优待系数×自主定价系数x交通违法系数（说明：浙江地区交通违法系数取1）</w:t>
      </w:r>
      <w:r>
        <w:rPr>
          <w:rFonts w:hint="eastAsia" w:ascii="宋体" w:hAnsi="宋体" w:cs="宋体"/>
          <w:color w:val="auto"/>
          <w:kern w:val="0"/>
          <w:sz w:val="21"/>
          <w:szCs w:val="21"/>
          <w:lang w:eastAsia="zh-CN"/>
        </w:rPr>
        <w:t>。</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无赔款优待系数根据车辆实际出险情况和连续投保年度历史赔款记录，按照无赔款优待系数对照表进行费率调整。由</w:t>
      </w:r>
      <w:r>
        <w:rPr>
          <w:rFonts w:hint="eastAsia" w:ascii="宋体" w:hAnsi="宋体" w:cs="宋体"/>
          <w:color w:val="auto"/>
          <w:kern w:val="0"/>
          <w:sz w:val="21"/>
          <w:szCs w:val="21"/>
          <w:lang w:val="en-US" w:eastAsia="zh-CN"/>
        </w:rPr>
        <w:t>行业主管部门或</w:t>
      </w:r>
      <w:r>
        <w:rPr>
          <w:rFonts w:hint="eastAsia" w:ascii="宋体" w:hAnsi="宋体" w:cs="宋体"/>
          <w:color w:val="auto"/>
          <w:kern w:val="0"/>
          <w:sz w:val="21"/>
          <w:szCs w:val="21"/>
        </w:rPr>
        <w:t>行业协会统一制定颁布，由行业平台自动返回。</w:t>
      </w: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自主定价系数根据公司自主上报的系数使用规则，在规定的[0.65,1.35]区间范围之内调整使用。</w:t>
      </w:r>
    </w:p>
    <w:p>
      <w:pPr>
        <w:widowControl/>
        <w:jc w:val="left"/>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所承诺的系数适用所有车型（包括进口、国产）</w:t>
      </w:r>
      <w:r>
        <w:rPr>
          <w:rFonts w:hint="eastAsia" w:ascii="宋体" w:hAnsi="宋体" w:cs="宋体"/>
          <w:color w:val="auto"/>
          <w:kern w:val="0"/>
          <w:sz w:val="21"/>
          <w:szCs w:val="21"/>
          <w:lang w:eastAsia="zh-CN"/>
        </w:rPr>
        <w:t>。</w:t>
      </w:r>
    </w:p>
    <w:p>
      <w:pPr>
        <w:jc w:val="both"/>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6.供应商在参与各种公务用车保险项目时，报价的优惠率不应低于承诺优惠率。</w:t>
      </w:r>
    </w:p>
    <w:p>
      <w:pPr>
        <w:jc w:val="both"/>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7.供应商应依据相关行业规定，及时通过官方网站更新发布各类保险价格，并在浙江政府采购网及时更新。</w:t>
      </w:r>
    </w:p>
    <w:p>
      <w:pPr>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A00002BF" w:usb1="68C7FCFB" w:usb2="00000010"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F226E"/>
    <w:rsid w:val="13737F87"/>
    <w:rsid w:val="146F7057"/>
    <w:rsid w:val="213115F7"/>
    <w:rsid w:val="2717103D"/>
    <w:rsid w:val="28164625"/>
    <w:rsid w:val="282878C7"/>
    <w:rsid w:val="2AD3047D"/>
    <w:rsid w:val="2B5D2956"/>
    <w:rsid w:val="3C88660D"/>
    <w:rsid w:val="3F597AD9"/>
    <w:rsid w:val="4D311BA7"/>
    <w:rsid w:val="4FBF226E"/>
    <w:rsid w:val="53BF75CA"/>
    <w:rsid w:val="593D44E1"/>
    <w:rsid w:val="5CE51D52"/>
    <w:rsid w:val="60191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2021-03-12T03:23:00Z</dcterms:created>
  <dc:creator>冯华</dc:creator>
  <cp:lastModifiedBy>曹雅婷</cp:lastModifiedBy>
  <dcterms:modified xsi:type="dcterms:W3CDTF">2021-03-17T00:28:45Z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