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hAnsi="宋体" w:cs="宋体"/>
          <w:b/>
          <w:color w:val="auto"/>
          <w:kern w:val="0"/>
          <w:sz w:val="52"/>
          <w:szCs w:val="52"/>
          <w:highlight w:val="none"/>
        </w:rPr>
      </w:pPr>
    </w:p>
    <w:p>
      <w:pPr>
        <w:jc w:val="center"/>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1143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lum contrast="11999"/>
                    </a:blip>
                    <a:stretch>
                      <a:fillRect/>
                    </a:stretch>
                  </pic:blipFill>
                  <pic:spPr>
                    <a:xfrm>
                      <a:off x="0" y="0"/>
                      <a:ext cx="2971800" cy="2091690"/>
                    </a:xfrm>
                    <a:prstGeom prst="rect">
                      <a:avLst/>
                    </a:prstGeom>
                    <a:noFill/>
                    <a:ln>
                      <a:noFill/>
                    </a:ln>
                  </pic:spPr>
                </pic:pic>
              </a:graphicData>
            </a:graphic>
          </wp:anchor>
        </w:drawing>
      </w:r>
    </w:p>
    <w:p>
      <w:pPr>
        <w:jc w:val="center"/>
        <w:rPr>
          <w:rFonts w:ascii="宋体" w:hAnsi="宋体" w:cs="宋体"/>
          <w:color w:val="auto"/>
          <w:sz w:val="52"/>
          <w:szCs w:val="52"/>
          <w:highlight w:val="none"/>
        </w:rPr>
      </w:pP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jc w:val="center"/>
        <w:rPr>
          <w:rFonts w:ascii="宋体" w:hAnsi="宋体" w:cs="宋体"/>
          <w:color w:val="auto"/>
          <w:sz w:val="36"/>
          <w:szCs w:val="36"/>
          <w:highlight w:val="none"/>
        </w:rPr>
      </w:pPr>
    </w:p>
    <w:p>
      <w:pPr>
        <w:jc w:val="center"/>
        <w:rPr>
          <w:rFonts w:ascii="宋体" w:hAnsi="宋体" w:cs="宋体"/>
          <w:b/>
          <w:color w:val="auto"/>
          <w:sz w:val="72"/>
          <w:szCs w:val="72"/>
          <w:highlight w:val="none"/>
        </w:rPr>
      </w:pPr>
    </w:p>
    <w:p>
      <w:pPr>
        <w:shd w:val="clear" w:color="auto" w:fill="FFFFFF"/>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政府采购电子招标文件</w:t>
      </w:r>
    </w:p>
    <w:p>
      <w:pPr>
        <w:shd w:val="clear" w:color="auto" w:fill="FFFFFF"/>
        <w:spacing w:line="360" w:lineRule="auto"/>
        <w:jc w:val="center"/>
        <w:textAlignment w:val="bottom"/>
        <w:rPr>
          <w:rFonts w:ascii="宋体" w:hAnsi="宋体" w:cs="宋体"/>
          <w:color w:val="auto"/>
          <w:sz w:val="28"/>
          <w:szCs w:val="28"/>
          <w:highlight w:val="none"/>
        </w:rPr>
      </w:pPr>
    </w:p>
    <w:p>
      <w:pPr>
        <w:shd w:val="clear" w:color="auto" w:fill="FFFFFF"/>
        <w:spacing w:line="360" w:lineRule="auto"/>
        <w:ind w:firstLine="560" w:firstLineChars="200"/>
        <w:textAlignment w:val="bottom"/>
        <w:rPr>
          <w:rFonts w:ascii="宋体" w:hAnsi="宋体" w:cs="宋体"/>
          <w:color w:val="auto"/>
          <w:sz w:val="28"/>
          <w:szCs w:val="28"/>
          <w:highlight w:val="none"/>
        </w:rPr>
      </w:pPr>
    </w:p>
    <w:p>
      <w:pPr>
        <w:shd w:val="clear" w:color="auto" w:fill="FFFFFF"/>
        <w:spacing w:line="360" w:lineRule="auto"/>
        <w:ind w:firstLine="560" w:firstLineChars="200"/>
        <w:textAlignment w:val="bottom"/>
        <w:rPr>
          <w:rFonts w:ascii="宋体" w:hAnsi="宋体" w:cs="宋体"/>
          <w:color w:val="auto"/>
          <w:sz w:val="28"/>
          <w:szCs w:val="28"/>
          <w:highlight w:val="none"/>
        </w:rPr>
      </w:pPr>
    </w:p>
    <w:p>
      <w:pPr>
        <w:shd w:val="clear" w:color="auto" w:fill="FFFFFF"/>
        <w:spacing w:line="360" w:lineRule="auto"/>
        <w:ind w:firstLine="280" w:firstLineChars="100"/>
        <w:textAlignment w:val="bottom"/>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项目编号：</w:t>
      </w:r>
      <w:r>
        <w:rPr>
          <w:rFonts w:hint="eastAsia" w:ascii="宋体" w:hAnsi="宋体" w:cs="宋体"/>
          <w:color w:val="auto"/>
          <w:sz w:val="28"/>
          <w:szCs w:val="28"/>
          <w:highlight w:val="none"/>
          <w:lang w:eastAsia="zh-CN"/>
        </w:rPr>
        <w:t>ZJWS2023-JJJ373</w:t>
      </w:r>
    </w:p>
    <w:p>
      <w:pPr>
        <w:shd w:val="clear" w:color="auto" w:fill="FFFFFF"/>
        <w:spacing w:line="360" w:lineRule="auto"/>
        <w:ind w:firstLine="280" w:firstLineChars="100"/>
        <w:textAlignment w:val="bottom"/>
        <w:rPr>
          <w:rFonts w:hint="eastAsia" w:ascii="宋体" w:hAnsi="宋体" w:eastAsia="宋体" w:cs="宋体"/>
          <w:color w:val="auto"/>
          <w:kern w:val="0"/>
          <w:sz w:val="28"/>
          <w:highlight w:val="none"/>
          <w:lang w:eastAsia="zh-CN"/>
        </w:rPr>
      </w:pPr>
      <w:r>
        <w:rPr>
          <w:rFonts w:hint="eastAsia" w:ascii="宋体" w:hAnsi="宋体" w:cs="宋体"/>
          <w:color w:val="auto"/>
          <w:kern w:val="0"/>
          <w:sz w:val="28"/>
          <w:highlight w:val="none"/>
        </w:rPr>
        <w:t>采购项目：</w:t>
      </w:r>
      <w:r>
        <w:rPr>
          <w:rFonts w:hint="eastAsia" w:ascii="宋体" w:hAnsi="宋体" w:cs="宋体"/>
          <w:color w:val="auto"/>
          <w:kern w:val="0"/>
          <w:sz w:val="28"/>
          <w:highlight w:val="none"/>
          <w:lang w:eastAsia="zh-CN"/>
        </w:rPr>
        <w:t>台州学院图书馆2024年度纸质图书采购项目</w:t>
      </w:r>
    </w:p>
    <w:p>
      <w:pPr>
        <w:autoSpaceDE w:val="0"/>
        <w:autoSpaceDN w:val="0"/>
        <w:adjustRightInd w:val="0"/>
        <w:spacing w:line="360" w:lineRule="auto"/>
        <w:ind w:firstLine="280" w:firstLineChars="100"/>
        <w:rPr>
          <w:rFonts w:ascii="宋体" w:hAnsi="宋体" w:cs="宋体"/>
          <w:color w:val="auto"/>
          <w:kern w:val="0"/>
          <w:sz w:val="28"/>
          <w:highlight w:val="none"/>
        </w:rPr>
      </w:pPr>
      <w:r>
        <w:rPr>
          <w:rFonts w:hint="eastAsia" w:ascii="宋体" w:hAnsi="宋体" w:cs="宋体"/>
          <w:color w:val="auto"/>
          <w:kern w:val="0"/>
          <w:sz w:val="28"/>
          <w:highlight w:val="none"/>
        </w:rPr>
        <w:t>采购单位：台州学院</w:t>
      </w:r>
    </w:p>
    <w:p>
      <w:pPr>
        <w:autoSpaceDE w:val="0"/>
        <w:autoSpaceDN w:val="0"/>
        <w:adjustRightInd w:val="0"/>
        <w:spacing w:line="360" w:lineRule="auto"/>
        <w:ind w:firstLine="280" w:firstLineChars="100"/>
        <w:rPr>
          <w:rFonts w:hint="eastAsia" w:ascii="宋体" w:hAnsi="宋体" w:eastAsia="宋体" w:cs="宋体"/>
          <w:color w:val="auto"/>
          <w:kern w:val="0"/>
          <w:sz w:val="28"/>
          <w:highlight w:val="none"/>
          <w:lang w:eastAsia="zh-CN"/>
        </w:rPr>
      </w:pPr>
      <w:r>
        <w:rPr>
          <w:rFonts w:hint="eastAsia" w:ascii="宋体" w:hAnsi="宋体" w:cs="宋体"/>
          <w:color w:val="auto"/>
          <w:kern w:val="0"/>
          <w:sz w:val="28"/>
          <w:highlight w:val="none"/>
        </w:rPr>
        <w:t>采购代理机构：</w:t>
      </w:r>
      <w:r>
        <w:rPr>
          <w:rFonts w:hint="eastAsia" w:ascii="宋体" w:hAnsi="宋体" w:cs="宋体"/>
          <w:color w:val="auto"/>
          <w:kern w:val="0"/>
          <w:sz w:val="28"/>
          <w:highlight w:val="none"/>
          <w:lang w:eastAsia="zh-CN"/>
        </w:rPr>
        <w:t>浙江五石中正工程咨询有限公司</w:t>
      </w:r>
    </w:p>
    <w:p>
      <w:pPr>
        <w:spacing w:line="360" w:lineRule="auto"/>
        <w:ind w:firstLine="560" w:firstLineChars="200"/>
        <w:jc w:val="center"/>
        <w:rPr>
          <w:rFonts w:ascii="宋体" w:hAnsi="宋体" w:cs="宋体"/>
          <w:color w:val="auto"/>
          <w:kern w:val="0"/>
          <w:sz w:val="28"/>
          <w:highlight w:val="none"/>
        </w:rPr>
      </w:pPr>
    </w:p>
    <w:p>
      <w:pPr>
        <w:spacing w:line="360" w:lineRule="auto"/>
        <w:ind w:firstLine="560" w:firstLineChars="200"/>
        <w:jc w:val="center"/>
        <w:rPr>
          <w:rFonts w:ascii="宋体" w:hAnsi="宋体" w:cs="宋体"/>
          <w:color w:val="auto"/>
          <w:sz w:val="24"/>
          <w:szCs w:val="32"/>
          <w:highlight w:val="none"/>
        </w:rPr>
      </w:pPr>
      <w:r>
        <w:rPr>
          <w:rFonts w:hint="eastAsia" w:ascii="宋体" w:hAnsi="宋体" w:cs="宋体"/>
          <w:color w:val="auto"/>
          <w:kern w:val="0"/>
          <w:sz w:val="28"/>
          <w:highlight w:val="none"/>
        </w:rPr>
        <w:t>202</w:t>
      </w:r>
      <w:r>
        <w:rPr>
          <w:rFonts w:hint="eastAsia" w:ascii="宋体" w:hAnsi="宋体" w:cs="宋体"/>
          <w:color w:val="auto"/>
          <w:kern w:val="0"/>
          <w:sz w:val="28"/>
          <w:highlight w:val="none"/>
          <w:lang w:val="en-US" w:eastAsia="zh-CN"/>
        </w:rPr>
        <w:t>3</w:t>
      </w:r>
      <w:r>
        <w:rPr>
          <w:rFonts w:hint="eastAsia" w:ascii="宋体" w:hAnsi="宋体" w:cs="宋体"/>
          <w:color w:val="auto"/>
          <w:kern w:val="0"/>
          <w:sz w:val="28"/>
          <w:highlight w:val="none"/>
        </w:rPr>
        <w:t>年</w:t>
      </w:r>
      <w:r>
        <w:rPr>
          <w:rFonts w:hint="eastAsia" w:ascii="宋体" w:hAnsi="宋体" w:cs="宋体"/>
          <w:color w:val="auto"/>
          <w:kern w:val="0"/>
          <w:sz w:val="28"/>
          <w:highlight w:val="none"/>
          <w:lang w:val="en-US" w:eastAsia="zh-CN"/>
        </w:rPr>
        <w:t>12</w:t>
      </w:r>
      <w:r>
        <w:rPr>
          <w:rFonts w:hint="eastAsia" w:ascii="宋体" w:hAnsi="宋体" w:cs="宋体"/>
          <w:color w:val="auto"/>
          <w:kern w:val="0"/>
          <w:sz w:val="28"/>
          <w:highlight w:val="none"/>
        </w:rPr>
        <w:t>月</w:t>
      </w:r>
    </w:p>
    <w:p>
      <w:pPr>
        <w:spacing w:line="360" w:lineRule="auto"/>
        <w:ind w:firstLine="480" w:firstLineChars="200"/>
        <w:rPr>
          <w:rFonts w:ascii="宋体" w:hAnsi="宋体" w:cs="宋体"/>
          <w:color w:val="auto"/>
          <w:sz w:val="24"/>
          <w:szCs w:val="32"/>
          <w:highlight w:val="none"/>
        </w:rPr>
      </w:pPr>
    </w:p>
    <w:p>
      <w:pPr>
        <w:pStyle w:val="25"/>
        <w:rPr>
          <w:rFonts w:ascii="宋体" w:hAnsi="宋体" w:cs="宋体"/>
          <w:color w:val="auto"/>
          <w:highlight w:val="none"/>
        </w:rPr>
      </w:pPr>
    </w:p>
    <w:p>
      <w:pPr>
        <w:spacing w:line="360" w:lineRule="auto"/>
        <w:ind w:firstLine="480" w:firstLineChars="200"/>
        <w:rPr>
          <w:rFonts w:ascii="宋体" w:hAnsi="宋体" w:cs="宋体"/>
          <w:color w:val="auto"/>
          <w:sz w:val="24"/>
          <w:szCs w:val="32"/>
          <w:highlight w:val="none"/>
        </w:rPr>
      </w:pPr>
    </w:p>
    <w:p>
      <w:pPr>
        <w:jc w:val="center"/>
        <w:rPr>
          <w:rFonts w:ascii="宋体" w:hAnsi="宋体" w:cs="宋体"/>
          <w:b/>
          <w:bCs/>
          <w:color w:val="auto"/>
          <w:sz w:val="36"/>
          <w:szCs w:val="36"/>
          <w:highlight w:val="none"/>
        </w:rPr>
      </w:pPr>
    </w:p>
    <w:p>
      <w:pPr>
        <w:jc w:val="center"/>
        <w:rPr>
          <w:rFonts w:ascii="宋体" w:hAnsi="宋体" w:cs="宋体"/>
          <w:b/>
          <w:bCs/>
          <w:color w:val="auto"/>
          <w:sz w:val="36"/>
          <w:szCs w:val="36"/>
          <w:highlight w:val="none"/>
        </w:rPr>
        <w:sectPr>
          <w:head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7" w:charSpace="0"/>
        </w:sectPr>
      </w:pPr>
    </w:p>
    <w:p>
      <w:pPr>
        <w:pStyle w:val="11"/>
        <w:rPr>
          <w:color w:val="auto"/>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pacing w:line="360" w:lineRule="auto"/>
        <w:rPr>
          <w:rFonts w:ascii="宋体" w:hAnsi="宋体" w:cs="宋体"/>
          <w:color w:val="auto"/>
          <w:sz w:val="28"/>
          <w:szCs w:val="28"/>
          <w:highlight w:val="none"/>
        </w:rPr>
      </w:pPr>
    </w:p>
    <w:sdt>
      <w:sdtPr>
        <w:rPr>
          <w:rFonts w:ascii="宋体" w:hAnsi="宋体"/>
          <w:color w:val="auto"/>
          <w:highlight w:val="none"/>
        </w:rPr>
        <w:id w:val="147452273"/>
        <w:docPartObj>
          <w:docPartGallery w:val="Table of Contents"/>
          <w:docPartUnique/>
        </w:docPartObj>
      </w:sdtPr>
      <w:sdtEndPr>
        <w:rPr>
          <w:rFonts w:hint="eastAsia" w:ascii="宋体" w:hAnsi="宋体" w:cs="宋体"/>
          <w:color w:val="auto"/>
          <w:szCs w:val="32"/>
          <w:highlight w:val="none"/>
        </w:rPr>
      </w:sdtEndPr>
      <w:sdtContent>
        <w:p>
          <w:pPr>
            <w:jc w:val="center"/>
            <w:rPr>
              <w:color w:val="auto"/>
              <w:highlight w:val="none"/>
            </w:rPr>
          </w:pPr>
        </w:p>
        <w:p>
          <w:pPr>
            <w:pStyle w:val="83"/>
            <w:tabs>
              <w:tab w:val="right" w:leader="dot" w:pos="8300"/>
            </w:tabs>
            <w:spacing w:line="480" w:lineRule="auto"/>
            <w:rPr>
              <w:color w:val="auto"/>
              <w:sz w:val="28"/>
              <w:szCs w:val="28"/>
              <w:highlight w:val="none"/>
            </w:rPr>
          </w:pPr>
          <w:r>
            <w:rPr>
              <w:rFonts w:hint="eastAsia" w:ascii="宋体" w:hAnsi="宋体" w:cs="宋体"/>
              <w:color w:val="auto"/>
              <w:sz w:val="40"/>
              <w:szCs w:val="48"/>
              <w:highlight w:val="none"/>
            </w:rPr>
            <w:fldChar w:fldCharType="begin"/>
          </w:r>
          <w:r>
            <w:rPr>
              <w:rFonts w:hint="eastAsia" w:ascii="宋体" w:hAnsi="宋体" w:cs="宋体"/>
              <w:color w:val="auto"/>
              <w:sz w:val="40"/>
              <w:szCs w:val="48"/>
              <w:highlight w:val="none"/>
            </w:rPr>
            <w:instrText xml:space="preserve">TOC \o "1-3" \h \u </w:instrText>
          </w:r>
          <w:r>
            <w:rPr>
              <w:rFonts w:hint="eastAsia" w:ascii="宋体" w:hAnsi="宋体" w:cs="宋体"/>
              <w:color w:val="auto"/>
              <w:sz w:val="40"/>
              <w:szCs w:val="48"/>
              <w:highlight w:val="none"/>
            </w:rPr>
            <w:fldChar w:fldCharType="separate"/>
          </w:r>
          <w:r>
            <w:rPr>
              <w:color w:val="auto"/>
              <w:highlight w:val="none"/>
            </w:rPr>
            <w:fldChar w:fldCharType="begin"/>
          </w:r>
          <w:r>
            <w:rPr>
              <w:color w:val="auto"/>
              <w:highlight w:val="none"/>
            </w:rPr>
            <w:instrText xml:space="preserve"> HYPERLINK \l "_Toc2009" </w:instrText>
          </w:r>
          <w:r>
            <w:rPr>
              <w:color w:val="auto"/>
              <w:highlight w:val="none"/>
            </w:rPr>
            <w:fldChar w:fldCharType="separate"/>
          </w:r>
          <w:r>
            <w:rPr>
              <w:rFonts w:hint="eastAsia" w:ascii="宋体" w:hAnsi="宋体" w:cs="宋体"/>
              <w:bCs/>
              <w:color w:val="auto"/>
              <w:sz w:val="28"/>
              <w:szCs w:val="72"/>
              <w:highlight w:val="none"/>
            </w:rPr>
            <w:t>第一章 公开招标采购公告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_Toc2009 \h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color w:val="auto"/>
              <w:sz w:val="28"/>
              <w:szCs w:val="28"/>
              <w:highlight w:val="none"/>
            </w:rPr>
            <w:fldChar w:fldCharType="end"/>
          </w:r>
        </w:p>
        <w:p>
          <w:pPr>
            <w:pStyle w:val="83"/>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"_Toc23118" </w:instrText>
          </w:r>
          <w:r>
            <w:rPr>
              <w:color w:val="auto"/>
              <w:highlight w:val="none"/>
            </w:rPr>
            <w:fldChar w:fldCharType="separate"/>
          </w:r>
          <w:r>
            <w:rPr>
              <w:rFonts w:hint="eastAsia" w:ascii="宋体" w:hAnsi="宋体" w:cs="宋体"/>
              <w:bCs/>
              <w:color w:val="auto"/>
              <w:sz w:val="28"/>
              <w:szCs w:val="72"/>
              <w:highlight w:val="none"/>
            </w:rPr>
            <w:t>第二章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_Toc23118 \h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color w:val="auto"/>
              <w:sz w:val="28"/>
              <w:szCs w:val="28"/>
              <w:highlight w:val="none"/>
            </w:rPr>
            <w:fldChar w:fldCharType="end"/>
          </w:r>
        </w:p>
        <w:p>
          <w:pPr>
            <w:pStyle w:val="83"/>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"_Toc20587" </w:instrText>
          </w:r>
          <w:r>
            <w:rPr>
              <w:color w:val="auto"/>
              <w:highlight w:val="none"/>
            </w:rPr>
            <w:fldChar w:fldCharType="separate"/>
          </w:r>
          <w:r>
            <w:rPr>
              <w:rFonts w:hint="eastAsia" w:ascii="宋体" w:hAnsi="宋体" w:cs="宋体"/>
              <w:bCs/>
              <w:color w:val="auto"/>
              <w:sz w:val="28"/>
              <w:szCs w:val="72"/>
              <w:highlight w:val="none"/>
            </w:rPr>
            <w:t>第三章 评标办法及评分标准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_Toc20587 \h </w:instrText>
          </w:r>
          <w:r>
            <w:rPr>
              <w:color w:val="auto"/>
              <w:sz w:val="28"/>
              <w:szCs w:val="28"/>
              <w:highlight w:val="none"/>
            </w:rPr>
            <w:fldChar w:fldCharType="separate"/>
          </w:r>
          <w:r>
            <w:rPr>
              <w:color w:val="auto"/>
              <w:sz w:val="28"/>
              <w:szCs w:val="28"/>
              <w:highlight w:val="none"/>
            </w:rPr>
            <w:t>22</w:t>
          </w:r>
          <w:r>
            <w:rPr>
              <w:color w:val="auto"/>
              <w:sz w:val="28"/>
              <w:szCs w:val="28"/>
              <w:highlight w:val="none"/>
            </w:rPr>
            <w:fldChar w:fldCharType="end"/>
          </w:r>
          <w:r>
            <w:rPr>
              <w:color w:val="auto"/>
              <w:sz w:val="28"/>
              <w:szCs w:val="28"/>
              <w:highlight w:val="none"/>
            </w:rPr>
            <w:fldChar w:fldCharType="end"/>
          </w:r>
        </w:p>
        <w:p>
          <w:pPr>
            <w:pStyle w:val="83"/>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"_Toc8522" </w:instrText>
          </w:r>
          <w:r>
            <w:rPr>
              <w:color w:val="auto"/>
              <w:highlight w:val="none"/>
            </w:rPr>
            <w:fldChar w:fldCharType="separate"/>
          </w:r>
          <w:r>
            <w:rPr>
              <w:rFonts w:hint="eastAsia" w:ascii="宋体" w:hAnsi="宋体" w:cs="宋体"/>
              <w:bCs/>
              <w:color w:val="auto"/>
              <w:sz w:val="28"/>
              <w:szCs w:val="72"/>
              <w:highlight w:val="none"/>
            </w:rPr>
            <w:t>第四章 公开招标需求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_Toc8522 \h </w:instrText>
          </w:r>
          <w:r>
            <w:rPr>
              <w:color w:val="auto"/>
              <w:sz w:val="28"/>
              <w:szCs w:val="28"/>
              <w:highlight w:val="none"/>
            </w:rPr>
            <w:fldChar w:fldCharType="separate"/>
          </w:r>
          <w:r>
            <w:rPr>
              <w:color w:val="auto"/>
              <w:sz w:val="28"/>
              <w:szCs w:val="28"/>
              <w:highlight w:val="none"/>
            </w:rPr>
            <w:t>25</w:t>
          </w:r>
          <w:r>
            <w:rPr>
              <w:color w:val="auto"/>
              <w:sz w:val="28"/>
              <w:szCs w:val="28"/>
              <w:highlight w:val="none"/>
            </w:rPr>
            <w:fldChar w:fldCharType="end"/>
          </w:r>
          <w:r>
            <w:rPr>
              <w:color w:val="auto"/>
              <w:sz w:val="28"/>
              <w:szCs w:val="28"/>
              <w:highlight w:val="none"/>
            </w:rPr>
            <w:fldChar w:fldCharType="end"/>
          </w:r>
        </w:p>
        <w:p>
          <w:pPr>
            <w:pStyle w:val="83"/>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"_Toc8958" </w:instrText>
          </w:r>
          <w:r>
            <w:rPr>
              <w:color w:val="auto"/>
              <w:highlight w:val="none"/>
            </w:rPr>
            <w:fldChar w:fldCharType="separate"/>
          </w:r>
          <w:r>
            <w:rPr>
              <w:rFonts w:hint="eastAsia"/>
              <w:color w:val="auto"/>
              <w:sz w:val="28"/>
              <w:szCs w:val="28"/>
              <w:highlight w:val="none"/>
            </w:rPr>
            <w:t>第五章 政府采购合同主要条款指引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_Toc8958 \h </w:instrText>
          </w:r>
          <w:r>
            <w:rPr>
              <w:color w:val="auto"/>
              <w:sz w:val="28"/>
              <w:szCs w:val="28"/>
              <w:highlight w:val="none"/>
            </w:rPr>
            <w:fldChar w:fldCharType="separate"/>
          </w:r>
          <w:r>
            <w:rPr>
              <w:color w:val="auto"/>
              <w:sz w:val="28"/>
              <w:szCs w:val="28"/>
              <w:highlight w:val="none"/>
            </w:rPr>
            <w:t>30</w:t>
          </w:r>
          <w:r>
            <w:rPr>
              <w:color w:val="auto"/>
              <w:sz w:val="28"/>
              <w:szCs w:val="28"/>
              <w:highlight w:val="none"/>
            </w:rPr>
            <w:fldChar w:fldCharType="end"/>
          </w:r>
          <w:r>
            <w:rPr>
              <w:color w:val="auto"/>
              <w:sz w:val="28"/>
              <w:szCs w:val="28"/>
              <w:highlight w:val="none"/>
            </w:rPr>
            <w:fldChar w:fldCharType="end"/>
          </w:r>
        </w:p>
        <w:p>
          <w:pPr>
            <w:pStyle w:val="83"/>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"_Toc24468" </w:instrText>
          </w:r>
          <w:r>
            <w:rPr>
              <w:color w:val="auto"/>
              <w:highlight w:val="none"/>
            </w:rPr>
            <w:fldChar w:fldCharType="separate"/>
          </w:r>
          <w:r>
            <w:rPr>
              <w:rFonts w:hint="eastAsia" w:ascii="宋体" w:hAnsi="宋体" w:cs="宋体"/>
              <w:bCs/>
              <w:color w:val="auto"/>
              <w:sz w:val="28"/>
              <w:szCs w:val="72"/>
              <w:highlight w:val="none"/>
            </w:rPr>
            <w:t>第六章 投标文件格式附件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_Toc24468 \h </w:instrText>
          </w:r>
          <w:r>
            <w:rPr>
              <w:color w:val="auto"/>
              <w:sz w:val="28"/>
              <w:szCs w:val="28"/>
              <w:highlight w:val="none"/>
            </w:rPr>
            <w:fldChar w:fldCharType="separate"/>
          </w:r>
          <w:r>
            <w:rPr>
              <w:color w:val="auto"/>
              <w:sz w:val="28"/>
              <w:szCs w:val="28"/>
              <w:highlight w:val="none"/>
            </w:rPr>
            <w:t>45</w:t>
          </w:r>
          <w:r>
            <w:rPr>
              <w:color w:val="auto"/>
              <w:sz w:val="28"/>
              <w:szCs w:val="28"/>
              <w:highlight w:val="none"/>
            </w:rPr>
            <w:fldChar w:fldCharType="end"/>
          </w:r>
          <w:r>
            <w:rPr>
              <w:color w:val="auto"/>
              <w:sz w:val="28"/>
              <w:szCs w:val="28"/>
              <w:highlight w:val="none"/>
            </w:rPr>
            <w:fldChar w:fldCharType="end"/>
          </w:r>
        </w:p>
        <w:p>
          <w:pPr>
            <w:spacing w:line="480" w:lineRule="auto"/>
            <w:rPr>
              <w:rFonts w:ascii="宋体" w:hAnsi="宋体" w:cs="宋体"/>
              <w:color w:val="auto"/>
              <w:sz w:val="24"/>
              <w:szCs w:val="32"/>
              <w:highlight w:val="none"/>
            </w:rPr>
          </w:pPr>
          <w:r>
            <w:rPr>
              <w:rFonts w:hint="eastAsia" w:ascii="宋体" w:hAnsi="宋体" w:cs="宋体"/>
              <w:color w:val="auto"/>
              <w:sz w:val="32"/>
              <w:szCs w:val="48"/>
              <w:highlight w:val="none"/>
            </w:rPr>
            <w:fldChar w:fldCharType="end"/>
          </w:r>
        </w:p>
      </w:sdtContent>
    </w:sdt>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rPr>
          <w:rFonts w:ascii="宋体" w:hAnsi="宋体" w:cs="宋体"/>
          <w:b/>
          <w:bCs/>
          <w:color w:val="auto"/>
          <w:sz w:val="36"/>
          <w:szCs w:val="44"/>
          <w:highlight w:val="none"/>
        </w:rPr>
      </w:pPr>
      <w:bookmarkStart w:id="0" w:name="_Toc24169"/>
      <w:r>
        <w:rPr>
          <w:rFonts w:hint="eastAsia" w:ascii="宋体" w:hAnsi="宋体" w:cs="宋体"/>
          <w:b/>
          <w:bCs/>
          <w:color w:val="auto"/>
          <w:sz w:val="36"/>
          <w:szCs w:val="44"/>
          <w:highlight w:val="none"/>
        </w:rPr>
        <w:br w:type="page"/>
      </w:r>
    </w:p>
    <w:p>
      <w:pPr>
        <w:spacing w:line="360" w:lineRule="auto"/>
        <w:jc w:val="center"/>
        <w:outlineLvl w:val="0"/>
        <w:rPr>
          <w:rFonts w:ascii="宋体" w:hAnsi="宋体" w:cs="宋体"/>
          <w:b/>
          <w:bCs/>
          <w:color w:val="auto"/>
          <w:sz w:val="36"/>
          <w:szCs w:val="44"/>
          <w:highlight w:val="none"/>
        </w:rPr>
      </w:pPr>
      <w:bookmarkStart w:id="1" w:name="_Toc2009"/>
      <w:r>
        <w:rPr>
          <w:rFonts w:hint="eastAsia" w:ascii="宋体" w:hAnsi="宋体" w:cs="宋体"/>
          <w:b/>
          <w:bCs/>
          <w:color w:val="auto"/>
          <w:sz w:val="36"/>
          <w:szCs w:val="44"/>
          <w:highlight w:val="none"/>
        </w:rPr>
        <w:t>第一章 公开招标采购公告</w:t>
      </w:r>
      <w:bookmarkEnd w:id="0"/>
      <w:bookmarkEnd w:id="1"/>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lang w:eastAsia="zh-CN"/>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台州学院</w:t>
      </w:r>
      <w:r>
        <w:rPr>
          <w:rFonts w:hint="eastAsia" w:ascii="宋体" w:hAnsi="宋体" w:cs="宋体"/>
          <w:color w:val="auto"/>
          <w:sz w:val="24"/>
          <w:szCs w:val="32"/>
          <w:highlight w:val="none"/>
        </w:rPr>
        <w:t>委托，现就其</w:t>
      </w:r>
      <w:r>
        <w:rPr>
          <w:rFonts w:hint="eastAsia" w:ascii="宋体" w:hAnsi="宋体" w:cs="宋体"/>
          <w:b/>
          <w:bCs/>
          <w:color w:val="auto"/>
          <w:sz w:val="24"/>
          <w:szCs w:val="32"/>
          <w:highlight w:val="none"/>
          <w:lang w:eastAsia="zh-CN"/>
        </w:rPr>
        <w:t>台州学院图书馆2024年度纸质图书采购项目</w:t>
      </w:r>
      <w:r>
        <w:rPr>
          <w:rFonts w:hint="eastAsia" w:ascii="宋体" w:hAnsi="宋体" w:cs="宋体"/>
          <w:color w:val="auto"/>
          <w:sz w:val="24"/>
          <w:szCs w:val="32"/>
          <w:highlight w:val="none"/>
        </w:rPr>
        <w:t>进行公开招标采购，欢迎合格供应商前来投标。</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w:t>
      </w:r>
      <w:r>
        <w:rPr>
          <w:rFonts w:hint="eastAsia" w:ascii="宋体" w:hAnsi="宋体" w:cs="宋体"/>
          <w:color w:val="auto"/>
          <w:sz w:val="24"/>
          <w:szCs w:val="32"/>
          <w:highlight w:val="none"/>
          <w:lang w:eastAsia="zh-CN"/>
        </w:rPr>
        <w:t>ZJWS2023-JJJ373</w:t>
      </w:r>
      <w:r>
        <w:rPr>
          <w:rFonts w:hint="eastAsia" w:ascii="宋体" w:hAnsi="宋体" w:cs="宋体"/>
          <w:color w:val="auto"/>
          <w:sz w:val="24"/>
          <w:szCs w:val="32"/>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tbl>
      <w:tblPr>
        <w:tblStyle w:val="26"/>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8"/>
        <w:gridCol w:w="742"/>
        <w:gridCol w:w="1126"/>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vAlign w:val="center"/>
          </w:tcPr>
          <w:p>
            <w:pPr>
              <w:spacing w:line="360" w:lineRule="auto"/>
              <w:jc w:val="center"/>
              <w:rPr>
                <w:rFonts w:ascii="宋体" w:hAnsi="宋体" w:cs="宋体"/>
                <w:b/>
                <w:color w:val="auto"/>
                <w:sz w:val="24"/>
                <w:highlight w:val="none"/>
              </w:rPr>
            </w:pPr>
            <w:bookmarkStart w:id="2" w:name="EBc3c9f0bc06b6413d849824fe98ba274c"/>
            <w:r>
              <w:rPr>
                <w:rFonts w:hint="eastAsia" w:ascii="宋体" w:hAnsi="宋体" w:cs="宋体"/>
                <w:b/>
                <w:color w:val="auto"/>
                <w:sz w:val="24"/>
                <w:highlight w:val="none"/>
              </w:rPr>
              <w:t>标段</w:t>
            </w:r>
          </w:p>
        </w:tc>
        <w:tc>
          <w:tcPr>
            <w:tcW w:w="280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74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126" w:type="dxa"/>
            <w:vAlign w:val="center"/>
          </w:tcPr>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预算</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（万元）</w:t>
            </w:r>
          </w:p>
        </w:tc>
        <w:tc>
          <w:tcPr>
            <w:tcW w:w="3710" w:type="dxa"/>
            <w:vAlign w:val="center"/>
          </w:tcPr>
          <w:p>
            <w:pPr>
              <w:spacing w:line="360" w:lineRule="auto"/>
              <w:jc w:val="center"/>
              <w:rPr>
                <w:rFonts w:ascii="宋体" w:hAnsi="宋体" w:cs="宋体"/>
                <w:b/>
                <w:color w:val="auto"/>
                <w:sz w:val="24"/>
                <w:highlight w:val="none"/>
              </w:rPr>
            </w:pPr>
            <w:r>
              <w:rPr>
                <w:rFonts w:ascii="宋体" w:hAnsi="宋体" w:cs="宋体"/>
                <w:b/>
                <w:color w:val="auto"/>
                <w:sz w:val="24"/>
                <w:highlight w:val="none"/>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0"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一</w:t>
            </w:r>
          </w:p>
        </w:tc>
        <w:tc>
          <w:tcPr>
            <w:tcW w:w="2808" w:type="dxa"/>
            <w:vAlign w:val="center"/>
          </w:tcPr>
          <w:p>
            <w:pPr>
              <w:spacing w:line="360" w:lineRule="auto"/>
              <w:jc w:val="center"/>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台州学院图书馆202</w:t>
            </w: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32"/>
                <w:highlight w:val="none"/>
                <w:lang w:eastAsia="zh-CN"/>
              </w:rPr>
              <w:t>年图书采购项目一</w:t>
            </w:r>
          </w:p>
        </w:tc>
        <w:tc>
          <w:tcPr>
            <w:tcW w:w="742" w:type="dxa"/>
            <w:vAlign w:val="center"/>
          </w:tcPr>
          <w:p>
            <w:pPr>
              <w:tabs>
                <w:tab w:val="left" w:pos="720"/>
              </w:tabs>
              <w:spacing w:line="360" w:lineRule="auto"/>
              <w:jc w:val="center"/>
              <w:rPr>
                <w:rFonts w:ascii="宋体" w:hAnsi="宋体" w:cs="宋体"/>
                <w:color w:val="auto"/>
                <w:sz w:val="24"/>
                <w:highlight w:val="none"/>
              </w:rPr>
            </w:pPr>
            <w:r>
              <w:rPr>
                <w:rFonts w:hint="eastAsia" w:ascii="宋体" w:hAnsi="宋体"/>
                <w:color w:val="auto"/>
                <w:kern w:val="0"/>
                <w:sz w:val="24"/>
                <w:highlight w:val="none"/>
              </w:rPr>
              <w:t>1</w:t>
            </w:r>
          </w:p>
        </w:tc>
        <w:tc>
          <w:tcPr>
            <w:tcW w:w="1126" w:type="dxa"/>
            <w:vAlign w:val="center"/>
          </w:tcPr>
          <w:p>
            <w:pPr>
              <w:spacing w:line="360" w:lineRule="auto"/>
              <w:jc w:val="center"/>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55</w:t>
            </w:r>
          </w:p>
        </w:tc>
        <w:tc>
          <w:tcPr>
            <w:tcW w:w="3710"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人文社科类图书1及其他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0" w:type="dxa"/>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二</w:t>
            </w:r>
          </w:p>
        </w:tc>
        <w:tc>
          <w:tcPr>
            <w:tcW w:w="2808"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台州学院图书馆202</w:t>
            </w: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32"/>
                <w:highlight w:val="none"/>
                <w:lang w:eastAsia="zh-CN"/>
              </w:rPr>
              <w:t>年图书采购项目二</w:t>
            </w:r>
          </w:p>
        </w:tc>
        <w:tc>
          <w:tcPr>
            <w:tcW w:w="742" w:type="dxa"/>
            <w:vAlign w:val="center"/>
          </w:tcPr>
          <w:p>
            <w:pPr>
              <w:tabs>
                <w:tab w:val="left" w:pos="720"/>
              </w:tabs>
              <w:spacing w:line="360" w:lineRule="auto"/>
              <w:jc w:val="center"/>
              <w:rPr>
                <w:rFonts w:hint="eastAsia" w:ascii="宋体" w:hAnsi="宋体" w:cs="宋体"/>
                <w:color w:val="auto"/>
                <w:sz w:val="24"/>
                <w:highlight w:val="none"/>
              </w:rPr>
            </w:pPr>
            <w:r>
              <w:rPr>
                <w:rFonts w:hint="eastAsia" w:ascii="宋体" w:hAnsi="宋体"/>
                <w:color w:val="auto"/>
                <w:kern w:val="0"/>
                <w:sz w:val="24"/>
                <w:highlight w:val="none"/>
              </w:rPr>
              <w:t>1</w:t>
            </w:r>
          </w:p>
        </w:tc>
        <w:tc>
          <w:tcPr>
            <w:tcW w:w="1126" w:type="dxa"/>
            <w:vAlign w:val="center"/>
          </w:tcPr>
          <w:p>
            <w:pPr>
              <w:spacing w:line="360" w:lineRule="auto"/>
              <w:jc w:val="center"/>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55</w:t>
            </w:r>
          </w:p>
        </w:tc>
        <w:tc>
          <w:tcPr>
            <w:tcW w:w="3710"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人文社科类图书2及其他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0" w:type="dxa"/>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三</w:t>
            </w:r>
          </w:p>
        </w:tc>
        <w:tc>
          <w:tcPr>
            <w:tcW w:w="2808"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台州学院图书馆202</w:t>
            </w: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32"/>
                <w:highlight w:val="none"/>
                <w:lang w:eastAsia="zh-CN"/>
              </w:rPr>
              <w:t>年图书采购项目三</w:t>
            </w:r>
          </w:p>
        </w:tc>
        <w:tc>
          <w:tcPr>
            <w:tcW w:w="742" w:type="dxa"/>
            <w:vAlign w:val="center"/>
          </w:tcPr>
          <w:p>
            <w:pPr>
              <w:tabs>
                <w:tab w:val="left" w:pos="720"/>
              </w:tabs>
              <w:spacing w:line="360" w:lineRule="auto"/>
              <w:jc w:val="center"/>
              <w:rPr>
                <w:rFonts w:hint="eastAsia" w:ascii="宋体" w:hAnsi="宋体" w:cs="宋体"/>
                <w:color w:val="auto"/>
                <w:sz w:val="24"/>
                <w:highlight w:val="none"/>
              </w:rPr>
            </w:pPr>
            <w:r>
              <w:rPr>
                <w:rFonts w:hint="eastAsia" w:ascii="宋体" w:hAnsi="宋体"/>
                <w:color w:val="auto"/>
                <w:kern w:val="0"/>
                <w:sz w:val="24"/>
                <w:highlight w:val="none"/>
              </w:rPr>
              <w:t>1</w:t>
            </w:r>
          </w:p>
        </w:tc>
        <w:tc>
          <w:tcPr>
            <w:tcW w:w="1126" w:type="dxa"/>
            <w:vAlign w:val="center"/>
          </w:tcPr>
          <w:p>
            <w:pPr>
              <w:spacing w:line="360" w:lineRule="auto"/>
              <w:jc w:val="center"/>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45</w:t>
            </w:r>
          </w:p>
        </w:tc>
        <w:tc>
          <w:tcPr>
            <w:tcW w:w="3710"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自然科学类图书、</w:t>
            </w:r>
            <w:r>
              <w:rPr>
                <w:rFonts w:hint="eastAsia" w:ascii="宋体" w:hAnsi="宋体" w:eastAsia="宋体" w:cs="宋体"/>
                <w:color w:val="auto"/>
                <w:sz w:val="24"/>
                <w:szCs w:val="32"/>
                <w:highlight w:val="none"/>
                <w:lang w:val="en-US" w:eastAsia="zh-CN"/>
              </w:rPr>
              <w:t>通识类图书</w:t>
            </w:r>
            <w:r>
              <w:rPr>
                <w:rFonts w:hint="eastAsia" w:ascii="宋体" w:hAnsi="宋体" w:eastAsia="宋体" w:cs="宋体"/>
                <w:color w:val="auto"/>
                <w:sz w:val="24"/>
                <w:szCs w:val="32"/>
                <w:highlight w:val="none"/>
                <w:lang w:eastAsia="zh-CN"/>
              </w:rPr>
              <w:t>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0" w:type="dxa"/>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四</w:t>
            </w:r>
          </w:p>
        </w:tc>
        <w:tc>
          <w:tcPr>
            <w:tcW w:w="2808"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台州学院图书馆202</w:t>
            </w: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32"/>
                <w:highlight w:val="none"/>
                <w:lang w:eastAsia="zh-CN"/>
              </w:rPr>
              <w:t>年图书采购项目四</w:t>
            </w:r>
          </w:p>
        </w:tc>
        <w:tc>
          <w:tcPr>
            <w:tcW w:w="742" w:type="dxa"/>
            <w:vAlign w:val="center"/>
          </w:tcPr>
          <w:p>
            <w:pPr>
              <w:tabs>
                <w:tab w:val="left" w:pos="720"/>
              </w:tabs>
              <w:spacing w:line="360" w:lineRule="auto"/>
              <w:jc w:val="center"/>
              <w:rPr>
                <w:rFonts w:hint="eastAsia" w:ascii="宋体" w:hAnsi="宋体" w:cs="宋体"/>
                <w:color w:val="auto"/>
                <w:sz w:val="24"/>
                <w:highlight w:val="none"/>
              </w:rPr>
            </w:pPr>
            <w:r>
              <w:rPr>
                <w:rFonts w:hint="eastAsia" w:ascii="宋体" w:hAnsi="宋体"/>
                <w:color w:val="auto"/>
                <w:kern w:val="0"/>
                <w:sz w:val="24"/>
                <w:highlight w:val="none"/>
              </w:rPr>
              <w:t>1</w:t>
            </w:r>
          </w:p>
        </w:tc>
        <w:tc>
          <w:tcPr>
            <w:tcW w:w="1126" w:type="dxa"/>
            <w:vAlign w:val="center"/>
          </w:tcPr>
          <w:p>
            <w:pPr>
              <w:spacing w:line="360" w:lineRule="auto"/>
              <w:jc w:val="center"/>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45</w:t>
            </w:r>
          </w:p>
        </w:tc>
        <w:tc>
          <w:tcPr>
            <w:tcW w:w="3710" w:type="dxa"/>
            <w:vAlign w:val="center"/>
          </w:tcPr>
          <w:p>
            <w:pPr>
              <w:spacing w:line="360" w:lineRule="auto"/>
              <w:jc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自然科学类图书、</w:t>
            </w:r>
            <w:r>
              <w:rPr>
                <w:rFonts w:hint="eastAsia" w:ascii="宋体" w:hAnsi="宋体" w:eastAsia="宋体" w:cs="宋体"/>
                <w:color w:val="auto"/>
                <w:sz w:val="24"/>
                <w:szCs w:val="32"/>
                <w:highlight w:val="none"/>
                <w:lang w:val="en-US" w:eastAsia="zh-CN"/>
              </w:rPr>
              <w:t>综合类图书</w:t>
            </w:r>
            <w:r>
              <w:rPr>
                <w:rFonts w:hint="eastAsia" w:ascii="宋体" w:hAnsi="宋体" w:eastAsia="宋体" w:cs="宋体"/>
                <w:color w:val="auto"/>
                <w:sz w:val="24"/>
                <w:szCs w:val="32"/>
                <w:highlight w:val="none"/>
                <w:lang w:eastAsia="zh-CN"/>
              </w:rPr>
              <w:t>及其他</w:t>
            </w:r>
          </w:p>
        </w:tc>
      </w:tr>
      <w:bookmarkEnd w:id="2"/>
    </w:tbl>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1、符合《中华人民共和国政府采购法》第二十二条及其他法律、行政法规规定的对投标主体的要求；</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2、本项目不接受联合体投标；</w:t>
      </w:r>
    </w:p>
    <w:p>
      <w:pPr>
        <w:widowControl/>
        <w:spacing w:line="360" w:lineRule="auto"/>
        <w:ind w:firstLine="480" w:firstLineChars="200"/>
        <w:jc w:val="left"/>
        <w:rPr>
          <w:rFonts w:hAnsi="宋体"/>
          <w:color w:val="auto"/>
          <w:sz w:val="24"/>
          <w:highlight w:val="none"/>
        </w:rPr>
      </w:pPr>
      <w:r>
        <w:rPr>
          <w:rFonts w:hint="eastAsia" w:ascii="宋体" w:hAnsi="宋体"/>
          <w:color w:val="auto"/>
          <w:kern w:val="0"/>
          <w:sz w:val="24"/>
          <w:highlight w:val="none"/>
        </w:rPr>
        <w:t>3、本项目的特定资格要求：</w:t>
      </w:r>
      <w:r>
        <w:rPr>
          <w:rFonts w:hint="eastAsia" w:hAnsi="宋体"/>
          <w:color w:val="auto"/>
          <w:sz w:val="24"/>
          <w:highlight w:val="none"/>
        </w:rPr>
        <w:t>具有相关部门颁发的出版物经营许可证（或发行许可证）。</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四、招标文件获取的时间、方式：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3、地点：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ascii="宋体" w:hAnsi="宋体" w:cs="宋体"/>
          <w:color w:val="auto"/>
          <w:sz w:val="24"/>
          <w:szCs w:val="32"/>
          <w:highlight w:val="none"/>
        </w:rPr>
        <w:t>http：//zfcg.czt.zj.gov.cn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cs="宋体"/>
          <w:sz w:val="24"/>
          <w:szCs w:val="24"/>
          <w:lang w:val="en-US" w:eastAsia="zh-CN"/>
        </w:rPr>
        <w:t>.</w:t>
      </w:r>
      <w:r>
        <w:rPr>
          <w:rFonts w:ascii="宋体" w:hAnsi="宋体" w:eastAsia="宋体" w:cs="宋体"/>
          <w:sz w:val="24"/>
          <w:szCs w:val="24"/>
        </w:rPr>
        <w:t>本项目实行电子投标，投标人应按照本项目招标文件和政采云平台的要求编制、加密并递交投标文件。投标人在使用系统进行投标的过程中遇到涉及平台使用的任何问题，可致电政采云平台技术支持热线咨询，联系方式：95763。</w:t>
      </w:r>
    </w:p>
    <w:p>
      <w:pPr>
        <w:spacing w:line="360" w:lineRule="auto"/>
        <w:ind w:firstLine="480" w:firstLineChars="200"/>
        <w:rPr>
          <w:rFonts w:ascii="宋体" w:hAnsi="宋体" w:eastAsia="宋体" w:cs="宋体"/>
          <w:sz w:val="24"/>
          <w:szCs w:val="24"/>
        </w:rPr>
      </w:pPr>
      <w:r>
        <w:rPr>
          <w:rFonts w:hint="eastAsia" w:ascii="宋体" w:hAnsi="宋体" w:cs="宋体"/>
          <w:color w:val="auto"/>
          <w:sz w:val="24"/>
          <w:szCs w:val="32"/>
          <w:highlight w:val="none"/>
        </w:rPr>
        <w:t>2.</w:t>
      </w:r>
      <w:r>
        <w:rPr>
          <w:rFonts w:ascii="宋体" w:hAnsi="宋体" w:eastAsia="宋体" w:cs="宋体"/>
          <w:sz w:val="24"/>
          <w:szCs w:val="24"/>
        </w:rPr>
        <w:t>投标人通过政采云平台电子投标工具制作投标文件，电子投标工具请供应商自行前往浙江政府采购网下载并安装（下载网址：</w:t>
      </w:r>
      <w:r>
        <w:rPr>
          <w:rFonts w:ascii="宋体" w:hAnsi="宋体" w:eastAsia="宋体" w:cs="宋体"/>
          <w:sz w:val="24"/>
          <w:szCs w:val="24"/>
        </w:rPr>
        <w:fldChar w:fldCharType="begin"/>
      </w:r>
      <w:r>
        <w:rPr>
          <w:rFonts w:ascii="宋体" w:hAnsi="宋体" w:eastAsia="宋体" w:cs="宋体"/>
          <w:sz w:val="24"/>
          <w:szCs w:val="24"/>
        </w:rPr>
        <w:instrText xml:space="preserve"> HYPERLINK "https://zfcg.czt.zj.gov.cn/luban/detail?parentId=600030&amp;articleId=ZoGATzO%2FwUdM7eXAIXLAyg%3D%3D&amp;utm=luban.luban-PC-37000.979-pc-websitegroup-zhejiang-secondPage-front.1.58e482b00f1311eea8dfcb72d7241801）。" </w:instrText>
      </w:r>
      <w:r>
        <w:rPr>
          <w:rFonts w:ascii="宋体" w:hAnsi="宋体" w:eastAsia="宋体" w:cs="宋体"/>
          <w:sz w:val="24"/>
          <w:szCs w:val="24"/>
        </w:rPr>
        <w:fldChar w:fldCharType="separate"/>
      </w:r>
      <w:r>
        <w:rPr>
          <w:rFonts w:ascii="宋体" w:hAnsi="宋体" w:eastAsia="宋体" w:cs="宋体"/>
          <w:sz w:val="24"/>
          <w:szCs w:val="24"/>
        </w:rPr>
        <w:t>https://zfcg.czt.zj.gov.cn/luban/detail?parentId=600030&amp;articleId=ZoGATzO%2FwUdM7eXAIXLAyg%3D%3D&amp;utm=luban.luban-PC-37000.979-pc-websitegroup-zhejiang-secondPage-front.1.58e482b00f1311eea8dfcb72d7241801）。</w:t>
      </w:r>
      <w:r>
        <w:rPr>
          <w:rFonts w:ascii="宋体" w:hAnsi="宋体" w:eastAsia="宋体" w:cs="宋体"/>
          <w:sz w:val="24"/>
          <w:szCs w:val="24"/>
        </w:rPr>
        <w:fldChar w:fldCharType="end"/>
      </w:r>
    </w:p>
    <w:p>
      <w:pPr>
        <w:spacing w:line="360" w:lineRule="auto"/>
        <w:ind w:firstLine="480" w:firstLineChars="200"/>
        <w:rPr>
          <w:rFonts w:ascii="宋体" w:hAnsi="宋体" w:eastAsia="宋体" w:cs="宋体"/>
          <w:sz w:val="24"/>
          <w:szCs w:val="24"/>
        </w:rPr>
      </w:pPr>
      <w:r>
        <w:rPr>
          <w:rFonts w:hint="eastAsia" w:ascii="宋体" w:hAnsi="宋体" w:cs="宋体"/>
          <w:color w:val="auto"/>
          <w:sz w:val="24"/>
          <w:szCs w:val="32"/>
          <w:highlight w:val="none"/>
        </w:rPr>
        <w:t>3.</w:t>
      </w:r>
      <w:r>
        <w:rPr>
          <w:rFonts w:ascii="宋体" w:hAnsi="宋体" w:eastAsia="宋体" w:cs="宋体"/>
          <w:sz w:val="24"/>
          <w:szCs w:val="24"/>
        </w:rPr>
        <w:t>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p>
    <w:p>
      <w:pPr>
        <w:spacing w:line="360" w:lineRule="auto"/>
        <w:ind w:firstLine="480" w:firstLineChars="200"/>
        <w:rPr>
          <w:rFonts w:ascii="宋体" w:hAnsi="宋体" w:eastAsia="宋体" w:cs="宋体"/>
          <w:sz w:val="24"/>
          <w:szCs w:val="24"/>
        </w:rPr>
      </w:pPr>
      <w:r>
        <w:rPr>
          <w:rFonts w:hint="eastAsia" w:ascii="宋体" w:hAnsi="宋体" w:cs="宋体"/>
          <w:color w:val="auto"/>
          <w:sz w:val="24"/>
          <w:szCs w:val="32"/>
          <w:highlight w:val="none"/>
        </w:rPr>
        <w:t>4.</w:t>
      </w:r>
      <w:r>
        <w:rPr>
          <w:rFonts w:ascii="宋体" w:hAnsi="宋体" w:eastAsia="宋体" w:cs="宋体"/>
          <w:sz w:val="24"/>
          <w:szCs w:val="24"/>
        </w:rPr>
        <w:t>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80" w:firstLineChars="200"/>
        <w:rPr>
          <w:rFonts w:ascii="宋体" w:hAnsi="宋体" w:eastAsia="宋体" w:cs="宋体"/>
          <w:sz w:val="24"/>
          <w:szCs w:val="24"/>
        </w:rPr>
      </w:pPr>
      <w:r>
        <w:rPr>
          <w:rFonts w:hint="eastAsia" w:ascii="宋体" w:hAnsi="宋体" w:cs="宋体"/>
          <w:color w:val="auto"/>
          <w:sz w:val="24"/>
          <w:szCs w:val="32"/>
          <w:highlight w:val="none"/>
        </w:rPr>
        <w:t>5.</w:t>
      </w:r>
      <w:r>
        <w:rPr>
          <w:rFonts w:ascii="宋体" w:hAnsi="宋体" w:eastAsia="宋体" w:cs="宋体"/>
          <w:sz w:val="24"/>
          <w:szCs w:val="24"/>
        </w:rPr>
        <w:t>供应商如对采购文件有异议应按规定的时间提出，逾期提出的，采购组织机构可不予受理、答复。</w:t>
      </w:r>
    </w:p>
    <w:p>
      <w:pPr>
        <w:spacing w:line="360" w:lineRule="auto"/>
        <w:ind w:firstLine="480" w:firstLineChars="200"/>
        <w:rPr>
          <w:rFonts w:ascii="宋体" w:hAnsi="宋体" w:cs="宋体"/>
          <w:color w:val="auto"/>
          <w:sz w:val="24"/>
          <w:szCs w:val="32"/>
          <w:highlight w:val="none"/>
        </w:rPr>
      </w:pPr>
      <w:r>
        <w:rPr>
          <w:rFonts w:hint="eastAsia" w:ascii="宋体" w:hAnsi="宋体" w:cs="宋体"/>
          <w:sz w:val="24"/>
          <w:szCs w:val="24"/>
          <w:lang w:val="en-US" w:eastAsia="zh-CN"/>
        </w:rPr>
        <w:t>6.</w:t>
      </w:r>
      <w:r>
        <w:rPr>
          <w:rFonts w:hint="eastAsia" w:ascii="宋体" w:hAnsi="宋体" w:cs="宋体"/>
          <w:color w:val="auto"/>
          <w:sz w:val="24"/>
          <w:szCs w:val="32"/>
          <w:highlight w:val="none"/>
        </w:rPr>
        <w:t>投标文件的组成、份数、密封、效力</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本项目实行电子投标，供应商应准备电子投标文件、以介质（U盘）存储的数据电文形式、纸质备份投标文件三类：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.1电子投标文件，按政采云平台项目采购--电子招投标操作指南及本招标文件要求编制。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.2纸质备份投标文件以纸质文件的形式编制，按资格及商务技术文件、报价文件分别编制并单独装订成册，</w:t>
      </w:r>
      <w:r>
        <w:rPr>
          <w:rFonts w:hint="eastAsia" w:ascii="宋体" w:hAnsi="宋体" w:cs="宋体"/>
          <w:b/>
          <w:bCs/>
          <w:color w:val="auto"/>
          <w:sz w:val="24"/>
          <w:szCs w:val="32"/>
          <w:highlight w:val="none"/>
        </w:rPr>
        <w:t>数量均为2份（一正一副）</w:t>
      </w:r>
      <w:r>
        <w:rPr>
          <w:rFonts w:hint="eastAsia" w:ascii="宋体" w:hAnsi="宋体" w:cs="宋体"/>
          <w:color w:val="auto"/>
          <w:sz w:val="24"/>
          <w:szCs w:val="32"/>
          <w:highlight w:val="none"/>
        </w:rPr>
        <w:t>。资格及商务技术文件、报价文件须分别密封封装，资格及商务技术文件、报价文件未分别密封的投标文件将为无效。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3投标供应商在“政府采购云平台”完成“电子加密投标文件”的上传递交后，需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①在投标截止时间前送交到开标地点；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②采用邮寄方式，邮寄公司统一采用顺丰（包裹外包装上请注明单位、项目名称、联系电话等信息，以便代理机构作接收登记工作），邮寄接收截止时间为投标截止时间前一个工作日下午16:00整（邮寄地址：</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（台州市椒江区东环大道576号二楼，联系人：金老师，电话：0576-88781913。))。</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0" w:firstLineChars="200"/>
        <w:rPr>
          <w:rFonts w:hint="eastAsia" w:ascii="宋体" w:hAnsi="宋体" w:cs="宋体"/>
          <w:color w:val="auto"/>
          <w:sz w:val="24"/>
          <w:szCs w:val="32"/>
          <w:highlight w:val="none"/>
          <w:lang w:eastAsia="zh-CN"/>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5投标文件启用顺序和效力：投标文件的启用，按先后顺位分别为电子投标文件、以介质（U盘）存储的数据电文形式的备份投标文件和纸质备份投标文件。全部投标人的电子投标文件均已按时解密的，备份投标文件自动失效</w:t>
      </w:r>
      <w:r>
        <w:rPr>
          <w:rFonts w:hint="eastAsia" w:ascii="宋体" w:hAnsi="宋体" w:cs="宋体"/>
          <w:color w:val="auto"/>
          <w:sz w:val="24"/>
          <w:szCs w:val="32"/>
          <w:highlight w:val="none"/>
          <w:lang w:eastAsia="zh-CN"/>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.6▲未传输递交电子投标文件的，投标无效。</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rPr>
        <w:t>202</w:t>
      </w: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年</w:t>
      </w:r>
      <w:r>
        <w:rPr>
          <w:rFonts w:hint="eastAsia" w:ascii="宋体" w:hAnsi="宋体" w:cs="宋体"/>
          <w:color w:val="auto"/>
          <w:sz w:val="24"/>
          <w:szCs w:val="32"/>
          <w:highlight w:val="none"/>
          <w:lang w:val="en-US" w:eastAsia="zh-CN"/>
        </w:rPr>
        <w:t>12</w:t>
      </w:r>
      <w:r>
        <w:rPr>
          <w:rFonts w:hint="eastAsia" w:ascii="宋体" w:hAnsi="宋体" w:cs="宋体"/>
          <w:color w:val="auto"/>
          <w:sz w:val="24"/>
          <w:szCs w:val="32"/>
          <w:highlight w:val="none"/>
        </w:rPr>
        <w:t>月</w:t>
      </w:r>
      <w:r>
        <w:rPr>
          <w:rFonts w:hint="eastAsia" w:ascii="宋体" w:hAnsi="宋体" w:cs="宋体"/>
          <w:color w:val="auto"/>
          <w:sz w:val="24"/>
          <w:szCs w:val="32"/>
          <w:highlight w:val="none"/>
          <w:lang w:val="en-US" w:eastAsia="zh-CN"/>
        </w:rPr>
        <w:t>28</w:t>
      </w:r>
      <w:r>
        <w:rPr>
          <w:rFonts w:hint="eastAsia" w:ascii="宋体" w:hAnsi="宋体" w:cs="宋体"/>
          <w:color w:val="auto"/>
          <w:sz w:val="24"/>
          <w:szCs w:val="32"/>
          <w:highlight w:val="none"/>
        </w:rPr>
        <w:t xml:space="preserve">日 </w:t>
      </w:r>
      <w:r>
        <w:rPr>
          <w:rFonts w:hint="eastAsia" w:ascii="宋体" w:hAnsi="宋体" w:cs="宋体"/>
          <w:color w:val="auto"/>
          <w:sz w:val="24"/>
          <w:szCs w:val="32"/>
          <w:highlight w:val="none"/>
          <w:lang w:val="en-US" w:eastAsia="zh-CN"/>
        </w:rPr>
        <w:t>上午9</w:t>
      </w:r>
      <w:r>
        <w:rPr>
          <w:rFonts w:hint="eastAsia" w:ascii="宋体" w:hAnsi="宋体" w:cs="宋体"/>
          <w:color w:val="auto"/>
          <w:sz w:val="24"/>
          <w:szCs w:val="32"/>
          <w:highlight w:val="none"/>
        </w:rPr>
        <w:t>：00</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cs="宋体"/>
          <w:color w:val="auto"/>
          <w:sz w:val="24"/>
          <w:szCs w:val="32"/>
          <w:highlight w:val="none"/>
          <w:lang w:eastAsia="zh-CN"/>
        </w:rPr>
        <w:t>浙江省台州市椒江区市府大道777号民泰大楼3楼一号开标室</w:t>
      </w:r>
      <w:r>
        <w:rPr>
          <w:rFonts w:hint="eastAsia" w:ascii="宋体" w:hAnsi="宋体" w:cs="宋体"/>
          <w:b w:val="0"/>
          <w:bCs w:val="0"/>
          <w:color w:val="auto"/>
          <w:sz w:val="24"/>
          <w:szCs w:val="32"/>
          <w:highlight w:val="none"/>
          <w:lang w:val="en-US" w:eastAsia="zh-CN"/>
        </w:rPr>
        <w:t>B</w:t>
      </w:r>
      <w:r>
        <w:rPr>
          <w:rFonts w:hint="eastAsia" w:ascii="宋体" w:hAnsi="宋体" w:cs="宋体"/>
          <w:color w:val="auto"/>
          <w:sz w:val="24"/>
          <w:szCs w:val="32"/>
          <w:highlight w:val="none"/>
          <w:lang w:eastAsia="zh-CN"/>
        </w:rPr>
        <w:t>场地</w:t>
      </w:r>
      <w:r>
        <w:rPr>
          <w:rFonts w:hint="eastAsia" w:ascii="宋体" w:hAnsi="宋体" w:cs="宋体"/>
          <w:color w:val="auto"/>
          <w:sz w:val="24"/>
          <w:szCs w:val="32"/>
          <w:highlight w:val="none"/>
        </w:rPr>
        <w:t>。</w:t>
      </w:r>
    </w:p>
    <w:p>
      <w:pPr>
        <w:spacing w:line="360" w:lineRule="auto"/>
        <w:ind w:firstLine="482" w:firstLineChars="200"/>
        <w:outlineLvl w:val="0"/>
        <w:rPr>
          <w:rFonts w:ascii="宋体" w:hAnsi="宋体" w:cs="宋体"/>
          <w:b/>
          <w:bCs/>
          <w:color w:val="auto"/>
          <w:sz w:val="24"/>
          <w:szCs w:val="32"/>
          <w:highlight w:val="none"/>
        </w:rPr>
      </w:pPr>
      <w:bookmarkStart w:id="3" w:name="_Toc11247"/>
      <w:bookmarkStart w:id="4" w:name="_Toc24566"/>
      <w:r>
        <w:rPr>
          <w:rFonts w:hint="eastAsia" w:ascii="宋体" w:hAnsi="宋体" w:cs="宋体"/>
          <w:b/>
          <w:bCs/>
          <w:color w:val="auto"/>
          <w:sz w:val="24"/>
          <w:szCs w:val="32"/>
          <w:highlight w:val="none"/>
        </w:rPr>
        <w:t>八、相关注意事项：</w:t>
      </w:r>
      <w:bookmarkEnd w:id="3"/>
      <w:bookmarkEnd w:id="4"/>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2）查询渠道：“信用中国”（www.creditchina.gov.cn）、“中国政府采购网”（www.ccgp.gov.cn）、“浙江政府采购网（www.zjzfcg.gov.cn）；</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3）信用信息查询记录和证据留存具体方式：采购代理机构经办人和监督人员将查询网页打印与其他采购相关文件一并保存；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4.开标时间后30分钟内供应商须携带CA自备电脑登录“政采云”平台，用“项目采购-开标评标”功能解密投标文件，投标人未按时解密或解密失败的，其上传的电子投标文件自动失效。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九、联系方式：</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项目联系人：潘</w:t>
      </w:r>
      <w:r>
        <w:rPr>
          <w:rFonts w:hint="eastAsia" w:ascii="宋体" w:hAnsi="宋体" w:cs="宋体"/>
          <w:color w:val="auto"/>
          <w:sz w:val="24"/>
          <w:highlight w:val="none"/>
          <w:lang w:val="en-US" w:eastAsia="zh-CN"/>
        </w:rPr>
        <w:t>麒锋</w:t>
      </w:r>
      <w:r>
        <w:rPr>
          <w:rFonts w:hint="eastAsia" w:ascii="宋体" w:hAnsi="宋体" w:cs="宋体"/>
          <w:color w:val="auto"/>
          <w:sz w:val="24"/>
          <w:highlight w:val="none"/>
        </w:rPr>
        <w:t>；联系电话：0576-887819</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w:t>
      </w:r>
      <w:r>
        <w:rPr>
          <w:rFonts w:hint="eastAsia" w:ascii="宋体" w:hAnsi="宋体" w:cs="宋体"/>
          <w:color w:val="auto"/>
          <w:sz w:val="24"/>
          <w:highlight w:val="none"/>
          <w:lang w:val="en-US" w:eastAsia="zh-CN"/>
        </w:rPr>
        <w:t>拱墅区</w:t>
      </w:r>
      <w:r>
        <w:rPr>
          <w:rFonts w:hint="eastAsia" w:ascii="宋体" w:hAnsi="宋体" w:cs="宋体"/>
          <w:color w:val="auto"/>
          <w:sz w:val="24"/>
          <w:highlight w:val="none"/>
        </w:rPr>
        <w:t>白石路318号中国（杭州）人力资源服务产业园北楼512室；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接收供应商质疑联系人：</w:t>
      </w:r>
      <w:r>
        <w:rPr>
          <w:rFonts w:hint="eastAsia" w:ascii="宋体" w:hAnsi="宋体" w:cs="宋体"/>
          <w:color w:val="auto"/>
          <w:sz w:val="24"/>
          <w:highlight w:val="none"/>
          <w:lang w:val="en-US" w:eastAsia="zh-CN"/>
        </w:rPr>
        <w:t>徐少媚</w:t>
      </w:r>
      <w:r>
        <w:rPr>
          <w:rFonts w:hint="eastAsia" w:ascii="宋体" w:hAnsi="宋体" w:cs="宋体"/>
          <w:color w:val="auto"/>
          <w:sz w:val="24"/>
          <w:highlight w:val="none"/>
        </w:rPr>
        <w:t>；联系电话：057</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88785265</w:t>
      </w:r>
      <w:r>
        <w:rPr>
          <w:rFonts w:hint="eastAsia" w:ascii="宋体" w:hAnsi="宋体" w:cs="宋体"/>
          <w:color w:val="auto"/>
          <w:sz w:val="24"/>
          <w:highlight w:val="none"/>
        </w:rPr>
        <w:t>。</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2、采购人：</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采购人名称：台州学院</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联系人：梁老师；联系电话：0576-88660897；</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质疑接收人：</w:t>
      </w:r>
      <w:r>
        <w:rPr>
          <w:rFonts w:hint="eastAsia" w:ascii="宋体" w:hAnsi="宋体" w:cs="宋体"/>
          <w:color w:val="auto"/>
          <w:sz w:val="24"/>
          <w:highlight w:val="none"/>
          <w:lang w:val="en-US" w:eastAsia="zh-CN"/>
        </w:rPr>
        <w:t>吴</w:t>
      </w:r>
      <w:r>
        <w:rPr>
          <w:rFonts w:hint="eastAsia" w:ascii="宋体" w:hAnsi="宋体" w:cs="宋体"/>
          <w:color w:val="auto"/>
          <w:sz w:val="24"/>
          <w:highlight w:val="none"/>
        </w:rPr>
        <w:t>老师</w:t>
      </w:r>
      <w:r>
        <w:rPr>
          <w:rFonts w:hint="eastAsia" w:ascii="宋体" w:hAnsi="宋体" w:cs="宋体"/>
          <w:color w:val="auto"/>
          <w:sz w:val="24"/>
          <w:highlight w:val="none"/>
          <w:lang w:eastAsia="zh-CN"/>
        </w:rPr>
        <w:t>；</w:t>
      </w:r>
      <w:r>
        <w:rPr>
          <w:rFonts w:hint="eastAsia" w:ascii="宋体" w:hAnsi="宋体" w:cs="宋体"/>
          <w:color w:val="auto"/>
          <w:sz w:val="24"/>
          <w:highlight w:val="none"/>
        </w:rPr>
        <w:t>联系方式：0576-88660896</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地址：浙江省台州市椒江区市府大道1139号</w:t>
      </w:r>
      <w:r>
        <w:rPr>
          <w:rFonts w:hint="eastAsia" w:ascii="宋体" w:hAnsi="宋体" w:cs="宋体"/>
          <w:color w:val="auto"/>
          <w:sz w:val="24"/>
          <w:highlight w:val="none"/>
          <w:lang w:eastAsia="zh-CN"/>
        </w:rPr>
        <w:t>。</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联系人：陈工、李工；监督投诉电话：0576-88206705、0576-88206731；</w:t>
      </w:r>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地址：台州市椒江区纬一路66号天元大厦。</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26"/>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1579"/>
        <w:gridCol w:w="1821"/>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银行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color="auto" w:fill="auto"/>
              <w:bidi w:val="0"/>
              <w:spacing w:line="360" w:lineRule="auto"/>
              <w:jc w:val="center"/>
              <w:rPr>
                <w:rFonts w:ascii="宋体" w:hAnsi="宋体" w:cs="宋体"/>
                <w:color w:val="auto"/>
                <w:sz w:val="24"/>
                <w:highlight w:val="none"/>
              </w:rPr>
            </w:pPr>
            <w:r>
              <w:rPr>
                <w:rFonts w:hint="eastAsia" w:ascii="宋体" w:hAnsi="宋体" w:eastAsia="宋体" w:cs="宋体"/>
                <w:color w:val="000000" w:themeColor="text1"/>
                <w:sz w:val="24"/>
                <w:szCs w:val="24"/>
                <w:highlight w:val="none"/>
                <w:lang w:eastAsia="zh-CN"/>
                <w14:textFill>
                  <w14:solidFill>
                    <w14:schemeClr w14:val="tx1"/>
                  </w14:solidFill>
                </w14:textFill>
              </w:rPr>
              <w:t>卢嘉诚</w:t>
            </w:r>
          </w:p>
        </w:tc>
        <w:tc>
          <w:tcPr>
            <w:tcW w:w="2303" w:type="dxa"/>
            <w:vAlign w:val="center"/>
          </w:tcPr>
          <w:p>
            <w:pPr>
              <w:shd w:val="clear" w:color="auto" w:fill="auto"/>
              <w:bidi w:val="0"/>
              <w:spacing w:line="360" w:lineRule="auto"/>
              <w:jc w:val="center"/>
              <w:rPr>
                <w:rFonts w:ascii="宋体" w:hAnsi="宋体" w:cs="宋体"/>
                <w:color w:val="auto"/>
                <w:sz w:val="24"/>
                <w:highlight w:val="none"/>
              </w:rPr>
            </w:pPr>
            <w:r>
              <w:rPr>
                <w:rFonts w:hint="eastAsia" w:ascii="宋体" w:hAnsi="宋体" w:eastAsia="宋体" w:cs="宋体"/>
                <w:color w:val="000000" w:themeColor="text1"/>
                <w:sz w:val="24"/>
                <w:szCs w:val="24"/>
                <w:highlight w:val="none"/>
                <w:lang w:eastAsia="zh-CN"/>
                <w14:textFill>
                  <w14:solidFill>
                    <w14:schemeClr w14:val="tx1"/>
                  </w14:solidFill>
                </w14:textFill>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龚盛</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中国建设银行</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梅晶晶</w:t>
            </w:r>
          </w:p>
        </w:tc>
        <w:tc>
          <w:tcPr>
            <w:tcW w:w="23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88525339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王海</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13857677798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王渊</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4.32%起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5.01%起</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章涉漪</w:t>
            </w:r>
          </w:p>
        </w:tc>
        <w:tc>
          <w:tcPr>
            <w:tcW w:w="23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81880185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4.15%起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81871518</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5.8%起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5.1%起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4.55%起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6.53%起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5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4.35%起</w:t>
            </w:r>
          </w:p>
        </w:tc>
        <w:tc>
          <w:tcPr>
            <w:tcW w:w="182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3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金雪婷</w:t>
            </w:r>
          </w:p>
        </w:tc>
        <w:tc>
          <w:tcPr>
            <w:tcW w:w="23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81886670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台州银行</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洪婷</w:t>
            </w:r>
          </w:p>
        </w:tc>
        <w:tc>
          <w:tcPr>
            <w:tcW w:w="23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3.85%起</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董庆</w:t>
            </w:r>
          </w:p>
        </w:tc>
        <w:tc>
          <w:tcPr>
            <w:tcW w:w="23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81888982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18957683735</w:t>
            </w:r>
          </w:p>
        </w:tc>
      </w:tr>
    </w:tbl>
    <w:p>
      <w:pPr>
        <w:spacing w:line="360" w:lineRule="auto"/>
        <w:jc w:val="center"/>
        <w:rPr>
          <w:color w:val="auto"/>
          <w:sz w:val="32"/>
          <w:szCs w:val="32"/>
          <w:highlight w:val="none"/>
        </w:rPr>
      </w:pPr>
      <w:r>
        <w:rPr>
          <w:rFonts w:hint="eastAsia"/>
          <w:color w:val="auto"/>
          <w:sz w:val="32"/>
          <w:szCs w:val="32"/>
          <w:highlight w:val="none"/>
        </w:rPr>
        <w:t>合同履约保函联系方式</w:t>
      </w:r>
    </w:p>
    <w:tbl>
      <w:tblPr>
        <w:tblStyle w:val="27"/>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6"/>
        <w:gridCol w:w="2629"/>
        <w:gridCol w:w="985"/>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3366" w:type="dxa"/>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保险公司名称</w:t>
            </w:r>
          </w:p>
        </w:tc>
        <w:tc>
          <w:tcPr>
            <w:tcW w:w="2629" w:type="dxa"/>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保费率</w:t>
            </w:r>
          </w:p>
        </w:tc>
        <w:tc>
          <w:tcPr>
            <w:tcW w:w="985" w:type="dxa"/>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年费率1%，最低保费500元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年费率1%，最低保费1000元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尹刚强</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年费率0.5%，最低保费1000元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王灵芳</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年费率1.5%，最低保费1000元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徐小明</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阳光保险台州中心支公司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年费率1%，最低保费500元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年费率2%，最低保费500元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王仙高</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年费率0.3%，最低保费1000元</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王仙春</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6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年费率0.3%，最低保费1000</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王春宇</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13676675331</w:t>
            </w:r>
          </w:p>
        </w:tc>
      </w:tr>
    </w:tbl>
    <w:p>
      <w:pPr>
        <w:keepNext w:val="0"/>
        <w:keepLines w:val="0"/>
        <w:pageBreakBefore w:val="0"/>
        <w:widowControl w:val="0"/>
        <w:kinsoku/>
        <w:wordWrap/>
        <w:overflowPunct/>
        <w:topLinePunct w:val="0"/>
        <w:autoSpaceDE/>
        <w:autoSpaceDN/>
        <w:bidi w:val="0"/>
        <w:adjustRightInd/>
        <w:snapToGrid/>
        <w:spacing w:line="440" w:lineRule="exact"/>
        <w:ind w:firstLine="3220" w:firstLineChars="1150"/>
        <w:textAlignment w:val="auto"/>
        <w:rPr>
          <w:rFonts w:ascii="宋体" w:hAnsi="宋体" w:cs="宋体"/>
          <w:color w:val="auto"/>
          <w:sz w:val="28"/>
          <w:szCs w:val="28"/>
          <w:highlight w:val="none"/>
        </w:rPr>
      </w:pPr>
      <w:r>
        <w:rPr>
          <w:rFonts w:hint="eastAsia" w:ascii="宋体" w:hAnsi="宋体" w:cs="宋体"/>
          <w:color w:val="auto"/>
          <w:sz w:val="28"/>
          <w:szCs w:val="28"/>
          <w:highlight w:val="none"/>
        </w:rPr>
        <w:t>预付款保函联系方式</w:t>
      </w:r>
    </w:p>
    <w:tbl>
      <w:tblPr>
        <w:tblStyle w:val="27"/>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07"/>
        <w:gridCol w:w="2109"/>
        <w:gridCol w:w="1264"/>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6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保险公司名称</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保费率</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36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trPr>
        <w:tc>
          <w:tcPr>
            <w:tcW w:w="36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6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罗赛</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13736605643</w:t>
            </w:r>
          </w:p>
        </w:tc>
      </w:tr>
    </w:tbl>
    <w:p>
      <w:pPr>
        <w:spacing w:line="360" w:lineRule="auto"/>
        <w:jc w:val="right"/>
        <w:rPr>
          <w:rFonts w:hint="eastAsia" w:ascii="宋体" w:hAnsi="宋体" w:cs="宋体"/>
          <w:b/>
          <w:bCs/>
          <w:color w:val="auto"/>
          <w:sz w:val="24"/>
          <w:szCs w:val="32"/>
          <w:highlight w:val="none"/>
          <w:lang w:eastAsia="zh-CN"/>
        </w:rPr>
      </w:pPr>
    </w:p>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pacing w:line="360" w:lineRule="auto"/>
        <w:ind w:firstLine="6240" w:firstLineChars="2600"/>
        <w:rPr>
          <w:rFonts w:ascii="宋体" w:hAnsi="宋体" w:cs="宋体"/>
          <w:color w:val="auto"/>
          <w:sz w:val="24"/>
          <w:szCs w:val="32"/>
          <w:highlight w:val="none"/>
        </w:rPr>
      </w:pPr>
      <w:r>
        <w:rPr>
          <w:rFonts w:hint="eastAsia" w:ascii="宋体" w:hAnsi="宋体" w:cs="宋体"/>
          <w:color w:val="auto"/>
          <w:sz w:val="24"/>
          <w:szCs w:val="32"/>
          <w:highlight w:val="none"/>
        </w:rPr>
        <w:t>202</w:t>
      </w: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年</w:t>
      </w:r>
      <w:r>
        <w:rPr>
          <w:rFonts w:hint="eastAsia" w:ascii="宋体" w:hAnsi="宋体" w:cs="宋体"/>
          <w:color w:val="auto"/>
          <w:sz w:val="24"/>
          <w:szCs w:val="32"/>
          <w:highlight w:val="none"/>
          <w:lang w:val="en-US" w:eastAsia="zh-CN"/>
        </w:rPr>
        <w:t>12</w:t>
      </w:r>
      <w:r>
        <w:rPr>
          <w:rFonts w:hint="eastAsia" w:ascii="宋体" w:hAnsi="宋体" w:cs="宋体"/>
          <w:color w:val="auto"/>
          <w:sz w:val="24"/>
          <w:szCs w:val="32"/>
          <w:highlight w:val="none"/>
        </w:rPr>
        <w:t>月</w:t>
      </w:r>
    </w:p>
    <w:p>
      <w:pPr>
        <w:spacing w:line="360" w:lineRule="auto"/>
        <w:rPr>
          <w:rFonts w:ascii="宋体" w:hAnsi="宋体" w:cs="宋体"/>
          <w:b/>
          <w:bCs/>
          <w:color w:val="auto"/>
          <w:sz w:val="36"/>
          <w:szCs w:val="44"/>
          <w:highlight w:val="none"/>
        </w:rPr>
      </w:pPr>
      <w:bookmarkStart w:id="5" w:name="_Toc23118"/>
      <w:bookmarkStart w:id="6" w:name="_Toc17094"/>
      <w:r>
        <w:rPr>
          <w:rFonts w:hint="eastAsia" w:ascii="宋体" w:hAnsi="宋体" w:cs="宋体"/>
          <w:b/>
          <w:bCs/>
          <w:color w:val="auto"/>
          <w:sz w:val="36"/>
          <w:szCs w:val="44"/>
          <w:highlight w:val="none"/>
        </w:rPr>
        <w:br w:type="page"/>
      </w:r>
    </w:p>
    <w:p>
      <w:pPr>
        <w:spacing w:line="360" w:lineRule="auto"/>
        <w:jc w:val="center"/>
        <w:outlineLvl w:val="0"/>
        <w:rPr>
          <w:rFonts w:ascii="宋体" w:hAnsi="宋体" w:cs="宋体"/>
          <w:b/>
          <w:bCs/>
          <w:color w:val="auto"/>
          <w:sz w:val="36"/>
          <w:szCs w:val="44"/>
          <w:highlight w:val="none"/>
        </w:rPr>
      </w:pPr>
      <w:r>
        <w:rPr>
          <w:rFonts w:hint="eastAsia" w:ascii="宋体" w:hAnsi="宋体" w:cs="宋体"/>
          <w:b/>
          <w:bCs/>
          <w:color w:val="auto"/>
          <w:sz w:val="36"/>
          <w:szCs w:val="44"/>
          <w:highlight w:val="none"/>
        </w:rPr>
        <w:t>第二章 投标人须知</w:t>
      </w:r>
      <w:bookmarkEnd w:id="5"/>
      <w:bookmarkEnd w:id="6"/>
    </w:p>
    <w:p>
      <w:pPr>
        <w:spacing w:line="360" w:lineRule="auto"/>
        <w:jc w:val="center"/>
        <w:outlineLvl w:val="1"/>
        <w:rPr>
          <w:rFonts w:ascii="宋体" w:hAnsi="宋体" w:cs="宋体"/>
          <w:b/>
          <w:bCs/>
          <w:color w:val="auto"/>
          <w:sz w:val="24"/>
          <w:szCs w:val="32"/>
          <w:highlight w:val="none"/>
        </w:rPr>
      </w:pPr>
      <w:bookmarkStart w:id="7" w:name="_Toc17272"/>
      <w:r>
        <w:rPr>
          <w:rFonts w:hint="eastAsia" w:ascii="宋体" w:hAnsi="宋体" w:cs="宋体"/>
          <w:b/>
          <w:bCs/>
          <w:color w:val="auto"/>
          <w:sz w:val="24"/>
          <w:szCs w:val="32"/>
          <w:highlight w:val="none"/>
        </w:rPr>
        <w:t>前附表</w:t>
      </w:r>
      <w:bookmarkEnd w:id="7"/>
    </w:p>
    <w:tbl>
      <w:tblPr>
        <w:tblStyle w:val="26"/>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22"/>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56" w:type="dxa"/>
            <w:vAlign w:val="center"/>
          </w:tcPr>
          <w:p>
            <w:pPr>
              <w:spacing w:line="30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22" w:type="dxa"/>
            <w:vAlign w:val="center"/>
          </w:tcPr>
          <w:p>
            <w:pPr>
              <w:spacing w:line="300" w:lineRule="auto"/>
              <w:jc w:val="center"/>
              <w:rPr>
                <w:rFonts w:ascii="宋体" w:hAnsi="宋体" w:cs="宋体"/>
                <w:b/>
                <w:bCs/>
                <w:color w:val="auto"/>
                <w:sz w:val="24"/>
                <w:highlight w:val="none"/>
              </w:rPr>
            </w:pPr>
            <w:r>
              <w:rPr>
                <w:rFonts w:hint="eastAsia" w:ascii="宋体" w:hAnsi="宋体" w:cs="宋体"/>
                <w:b/>
                <w:bCs/>
                <w:color w:val="auto"/>
                <w:sz w:val="24"/>
                <w:highlight w:val="none"/>
              </w:rPr>
              <w:t>项    目</w:t>
            </w:r>
          </w:p>
        </w:tc>
        <w:tc>
          <w:tcPr>
            <w:tcW w:w="6830" w:type="dxa"/>
            <w:vAlign w:val="center"/>
          </w:tcPr>
          <w:p>
            <w:pPr>
              <w:spacing w:line="300" w:lineRule="auto"/>
              <w:jc w:val="center"/>
              <w:rPr>
                <w:rFonts w:ascii="宋体" w:hAnsi="宋体" w:cs="宋体"/>
                <w:b/>
                <w:bCs/>
                <w:color w:val="auto"/>
                <w:sz w:val="24"/>
                <w:highlight w:val="none"/>
              </w:rPr>
            </w:pPr>
            <w:r>
              <w:rPr>
                <w:rFonts w:hint="eastAsia" w:ascii="宋体" w:hAnsi="宋体" w:cs="宋体"/>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6830" w:type="dxa"/>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6830" w:type="dxa"/>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622"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sz w:val="24"/>
                <w:highlight w:val="none"/>
              </w:rPr>
              <w:t>投标文件的组成、份数、效力</w:t>
            </w:r>
          </w:p>
        </w:tc>
        <w:tc>
          <w:tcPr>
            <w:tcW w:w="6830" w:type="dxa"/>
            <w:vAlign w:val="center"/>
          </w:tcPr>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本项目实行电子投标，供应商应准备电子投标文件、以介质（U盘）存储的数据电文形式的备份投标文件、纸质备份投标文件三类：</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1.电子投标文件，按政采云平台项目采购--电子招投标操作指南及本招标文件要求编制、递交。</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2.以介质（U盘）存储的数据电文形式的备份投标文件，按政采云平台项目采购-电子招投标操作指南中上传的电子投标文件格式，以U盘形式提供。</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3.纸质备份投标文件以纸质文件的形式编制，按资格及商务技术文件、报价文件分别编制并单独装订成册，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。资格及商务技术文件、报价文件须分别密封封装，未分别密封的投标文件将为无效。</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6830" w:type="dxa"/>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投标有效期为开标后90天，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投标文件递交</w:t>
            </w:r>
          </w:p>
        </w:tc>
        <w:tc>
          <w:tcPr>
            <w:tcW w:w="6830" w:type="dxa"/>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截止时间：北京时间202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rPr>
              <w:t xml:space="preserve">日 </w:t>
            </w:r>
            <w:r>
              <w:rPr>
                <w:rFonts w:hint="eastAsia" w:ascii="宋体" w:hAnsi="宋体" w:cs="宋体"/>
                <w:color w:val="auto"/>
                <w:sz w:val="24"/>
                <w:highlight w:val="none"/>
                <w:lang w:val="en-US" w:eastAsia="zh-CN"/>
              </w:rPr>
              <w:t>上午9</w:t>
            </w:r>
            <w:r>
              <w:rPr>
                <w:rFonts w:hint="eastAsia" w:ascii="宋体" w:hAnsi="宋体" w:cs="宋体"/>
                <w:color w:val="auto"/>
                <w:sz w:val="24"/>
                <w:highlight w:val="none"/>
              </w:rPr>
              <w:t>：00</w:t>
            </w:r>
          </w:p>
          <w:p>
            <w:pPr>
              <w:spacing w:line="300" w:lineRule="auto"/>
              <w:rPr>
                <w:rFonts w:ascii="宋体" w:hAnsi="宋体" w:cs="宋体"/>
                <w:color w:val="auto"/>
                <w:sz w:val="24"/>
                <w:highlight w:val="none"/>
              </w:rPr>
            </w:pPr>
            <w:r>
              <w:rPr>
                <w:rFonts w:hint="eastAsia" w:ascii="宋体" w:hAnsi="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开标时间及地点</w:t>
            </w:r>
          </w:p>
        </w:tc>
        <w:tc>
          <w:tcPr>
            <w:tcW w:w="6830" w:type="dxa"/>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时间：北京时间202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rPr>
              <w:t xml:space="preserve">日 </w:t>
            </w:r>
            <w:r>
              <w:rPr>
                <w:rFonts w:hint="eastAsia" w:ascii="宋体" w:hAnsi="宋体" w:cs="宋体"/>
                <w:color w:val="auto"/>
                <w:sz w:val="24"/>
                <w:highlight w:val="none"/>
                <w:lang w:val="en-US" w:eastAsia="zh-CN"/>
              </w:rPr>
              <w:t>上午9</w:t>
            </w:r>
            <w:r>
              <w:rPr>
                <w:rFonts w:hint="eastAsia" w:ascii="宋体" w:hAnsi="宋体" w:cs="宋体"/>
                <w:color w:val="auto"/>
                <w:sz w:val="24"/>
                <w:highlight w:val="none"/>
              </w:rPr>
              <w:t>：00</w:t>
            </w:r>
          </w:p>
          <w:p>
            <w:pPr>
              <w:spacing w:line="300" w:lineRule="auto"/>
              <w:rPr>
                <w:rFonts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szCs w:val="32"/>
                <w:highlight w:val="none"/>
                <w:lang w:eastAsia="zh-CN"/>
              </w:rPr>
              <w:t>浙江省台州市椒江区市府大道777号民泰大楼3楼一号开标室</w:t>
            </w:r>
            <w:r>
              <w:rPr>
                <w:rFonts w:hint="eastAsia" w:ascii="宋体" w:hAnsi="宋体" w:cs="宋体"/>
                <w:b w:val="0"/>
                <w:bCs w:val="0"/>
                <w:color w:val="auto"/>
                <w:sz w:val="24"/>
                <w:szCs w:val="32"/>
                <w:highlight w:val="none"/>
                <w:lang w:val="en-US" w:eastAsia="zh-CN"/>
              </w:rPr>
              <w:t>B</w:t>
            </w:r>
            <w:r>
              <w:rPr>
                <w:rFonts w:hint="eastAsia" w:ascii="宋体" w:hAnsi="宋体" w:cs="宋体"/>
                <w:color w:val="auto"/>
                <w:sz w:val="24"/>
                <w:szCs w:val="32"/>
                <w:highlight w:val="none"/>
                <w:lang w:eastAsia="zh-CN"/>
              </w:rPr>
              <w:t>场地</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6830" w:type="dxa"/>
            <w:vAlign w:val="center"/>
          </w:tcPr>
          <w:p>
            <w:pPr>
              <w:spacing w:line="300" w:lineRule="auto"/>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622" w:type="dxa"/>
            <w:vAlign w:val="center"/>
          </w:tcPr>
          <w:p>
            <w:pPr>
              <w:autoSpaceDE w:val="0"/>
              <w:autoSpaceDN w:val="0"/>
              <w:adjustRightInd w:val="0"/>
              <w:spacing w:line="300" w:lineRule="auto"/>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6830" w:type="dxa"/>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622"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样品及演示</w:t>
            </w:r>
          </w:p>
        </w:tc>
        <w:tc>
          <w:tcPr>
            <w:tcW w:w="6830" w:type="dxa"/>
            <w:vAlign w:val="center"/>
          </w:tcPr>
          <w:p>
            <w:pPr>
              <w:spacing w:line="300" w:lineRule="auto"/>
              <w:jc w:val="left"/>
              <w:rPr>
                <w:rFonts w:ascii="宋体" w:hAnsi="宋体" w:cs="宋体"/>
                <w:color w:val="auto"/>
                <w:sz w:val="24"/>
                <w:highlight w:val="none"/>
              </w:rPr>
            </w:pPr>
            <w:r>
              <w:rPr>
                <w:rFonts w:hint="eastAsia" w:ascii="宋体" w:hAnsi="宋体" w:cs="宋体"/>
                <w:color w:val="auto"/>
                <w:sz w:val="24"/>
                <w:highlight w:val="none"/>
                <w:lang w:val="en-US" w:eastAsia="zh-CN"/>
              </w:rPr>
              <w:t>详见评审细则</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节能环保</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是否进口</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eastAsia="宋体"/>
                <w:color w:val="auto"/>
                <w:highlight w:val="none"/>
                <w:lang w:val="en-US" w:eastAsia="zh-CN"/>
              </w:rPr>
            </w:pPr>
            <w:r>
              <w:rPr>
                <w:rFonts w:hint="eastAsia"/>
                <w:color w:val="auto"/>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本招标文件解释权属于采购人和</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其他说明</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auto"/>
                <w:sz w:val="24"/>
                <w:highlight w:val="none"/>
              </w:rPr>
            </w:pPr>
            <w:r>
              <w:rPr>
                <w:rFonts w:hint="eastAsia" w:ascii="宋体" w:hAnsi="宋体" w:cs="宋体"/>
                <w:color w:val="auto"/>
                <w:sz w:val="24"/>
                <w:highlight w:val="none"/>
              </w:rPr>
              <w:t>投标文件结束解密后，供应商应当通过邮件形式，将经授权代表签署的《政府采购活动现场确认声明书》（格式见招标文件最后一页政府采购活动现场确认声明书）扫描件发至代理机构电子邮箱（</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"mailto:lhzb.gov.cn@163.com）,联系人"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lang w:val="en-US" w:eastAsia="zh-CN"/>
              </w:rPr>
              <w:t>zjwstz@163</w:t>
            </w:r>
            <w:r>
              <w:rPr>
                <w:rFonts w:hint="eastAsia" w:ascii="宋体" w:hAnsi="宋体" w:cs="宋体"/>
                <w:color w:val="auto"/>
                <w:sz w:val="24"/>
                <w:highlight w:val="none"/>
              </w:rPr>
              <w:t>.com）,联系人</w:t>
            </w:r>
            <w:r>
              <w:rPr>
                <w:rFonts w:hint="eastAsia" w:ascii="宋体" w:hAnsi="宋体" w:cs="宋体"/>
                <w:color w:val="auto"/>
                <w:sz w:val="24"/>
                <w:highlight w:val="none"/>
              </w:rPr>
              <w:fldChar w:fldCharType="end"/>
            </w:r>
            <w:r>
              <w:rPr>
                <w:rFonts w:hint="eastAsia" w:ascii="宋体" w:hAnsi="宋体" w:cs="宋体"/>
                <w:color w:val="auto"/>
                <w:sz w:val="24"/>
                <w:highlight w:val="none"/>
              </w:rPr>
              <w:t>：潘麒锋，电话：13616507339。</w:t>
            </w:r>
          </w:p>
        </w:tc>
      </w:tr>
    </w:tbl>
    <w:p>
      <w:pPr>
        <w:spacing w:line="360" w:lineRule="auto"/>
        <w:outlineLvl w:val="1"/>
        <w:rPr>
          <w:rFonts w:ascii="宋体" w:hAnsi="宋体" w:cs="宋体"/>
          <w:b/>
          <w:bCs/>
          <w:color w:val="auto"/>
          <w:sz w:val="24"/>
          <w:szCs w:val="32"/>
          <w:highlight w:val="none"/>
        </w:rPr>
      </w:pPr>
      <w:bookmarkStart w:id="8" w:name="_Toc7832"/>
    </w:p>
    <w:p>
      <w:pPr>
        <w:spacing w:line="360" w:lineRule="auto"/>
        <w:outlineLvl w:val="1"/>
        <w:rPr>
          <w:rFonts w:ascii="宋体" w:hAnsi="宋体" w:cs="宋体"/>
          <w:b/>
          <w:bCs/>
          <w:color w:val="auto"/>
          <w:sz w:val="24"/>
          <w:szCs w:val="32"/>
          <w:highlight w:val="none"/>
        </w:rPr>
      </w:pPr>
    </w:p>
    <w:p>
      <w:pPr>
        <w:rPr>
          <w:rFonts w:ascii="宋体" w:hAnsi="宋体" w:cs="宋体"/>
          <w:b/>
          <w:bCs/>
          <w:color w:val="auto"/>
          <w:sz w:val="24"/>
          <w:szCs w:val="32"/>
          <w:highlight w:val="none"/>
        </w:rPr>
      </w:pPr>
      <w:r>
        <w:rPr>
          <w:rFonts w:hint="eastAsia" w:ascii="宋体" w:hAnsi="宋体" w:cs="宋体"/>
          <w:b/>
          <w:bCs/>
          <w:color w:val="auto"/>
          <w:sz w:val="24"/>
          <w:szCs w:val="32"/>
          <w:highlight w:val="none"/>
        </w:rPr>
        <w:br w:type="page"/>
      </w:r>
    </w:p>
    <w:p>
      <w:pPr>
        <w:spacing w:line="360" w:lineRule="auto"/>
        <w:outlineLvl w:val="1"/>
        <w:rPr>
          <w:rFonts w:ascii="宋体" w:hAnsi="宋体" w:cs="宋体"/>
          <w:b/>
          <w:bCs/>
          <w:color w:val="auto"/>
          <w:sz w:val="24"/>
          <w:szCs w:val="32"/>
          <w:highlight w:val="none"/>
        </w:rPr>
      </w:pPr>
      <w:r>
        <w:rPr>
          <w:rFonts w:hint="eastAsia" w:ascii="宋体" w:hAnsi="宋体" w:cs="宋体"/>
          <w:b/>
          <w:bCs/>
          <w:color w:val="auto"/>
          <w:sz w:val="24"/>
          <w:szCs w:val="32"/>
          <w:highlight w:val="none"/>
        </w:rPr>
        <w:t>一 、总  则</w:t>
      </w:r>
      <w:bookmarkEnd w:id="8"/>
    </w:p>
    <w:p>
      <w:pPr>
        <w:spacing w:line="360" w:lineRule="auto"/>
        <w:ind w:firstLine="482" w:firstLineChars="200"/>
        <w:outlineLvl w:val="2"/>
        <w:rPr>
          <w:rFonts w:ascii="宋体" w:hAnsi="宋体" w:cs="宋体"/>
          <w:b/>
          <w:bCs/>
          <w:color w:val="auto"/>
          <w:sz w:val="24"/>
          <w:szCs w:val="32"/>
          <w:highlight w:val="none"/>
        </w:rPr>
      </w:pPr>
      <w:bookmarkStart w:id="9" w:name="_Toc12047"/>
      <w:r>
        <w:rPr>
          <w:rFonts w:hint="eastAsia" w:ascii="宋体" w:hAnsi="宋体" w:cs="宋体"/>
          <w:b/>
          <w:bCs/>
          <w:color w:val="auto"/>
          <w:sz w:val="24"/>
          <w:szCs w:val="32"/>
          <w:highlight w:val="none"/>
        </w:rPr>
        <w:t>（一） 适用范围</w:t>
      </w:r>
      <w:bookmarkEnd w:id="9"/>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outlineLvl w:val="2"/>
        <w:rPr>
          <w:rFonts w:ascii="宋体" w:hAnsi="宋体" w:cs="宋体"/>
          <w:b/>
          <w:bCs/>
          <w:color w:val="auto"/>
          <w:sz w:val="24"/>
          <w:szCs w:val="32"/>
          <w:highlight w:val="none"/>
        </w:rPr>
      </w:pPr>
      <w:bookmarkStart w:id="10" w:name="_Toc10006"/>
      <w:r>
        <w:rPr>
          <w:rFonts w:hint="eastAsia" w:ascii="宋体" w:hAnsi="宋体" w:cs="宋体"/>
          <w:b/>
          <w:bCs/>
          <w:color w:val="auto"/>
          <w:sz w:val="24"/>
          <w:szCs w:val="32"/>
          <w:highlight w:val="none"/>
        </w:rPr>
        <w:t>（二）定义</w:t>
      </w:r>
      <w:bookmarkEnd w:id="10"/>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pacing w:line="360" w:lineRule="auto"/>
        <w:ind w:firstLine="482" w:firstLineChars="200"/>
        <w:outlineLvl w:val="2"/>
        <w:rPr>
          <w:rFonts w:ascii="宋体" w:hAnsi="宋体" w:cs="宋体"/>
          <w:b/>
          <w:bCs/>
          <w:color w:val="auto"/>
          <w:sz w:val="24"/>
          <w:szCs w:val="32"/>
          <w:highlight w:val="none"/>
        </w:rPr>
      </w:pPr>
      <w:bookmarkStart w:id="11" w:name="_Toc21998"/>
      <w:r>
        <w:rPr>
          <w:rFonts w:hint="eastAsia" w:ascii="宋体" w:hAnsi="宋体" w:cs="宋体"/>
          <w:b/>
          <w:bCs/>
          <w:color w:val="auto"/>
          <w:sz w:val="24"/>
          <w:szCs w:val="32"/>
          <w:highlight w:val="none"/>
        </w:rPr>
        <w:t>（三）投标费用</w:t>
      </w:r>
      <w:bookmarkEnd w:id="11"/>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outlineLvl w:val="2"/>
        <w:rPr>
          <w:rFonts w:ascii="宋体" w:hAnsi="宋体" w:cs="宋体"/>
          <w:b/>
          <w:bCs/>
          <w:color w:val="auto"/>
          <w:sz w:val="24"/>
          <w:szCs w:val="32"/>
          <w:highlight w:val="none"/>
        </w:rPr>
      </w:pPr>
      <w:bookmarkStart w:id="12" w:name="_Toc2827"/>
      <w:r>
        <w:rPr>
          <w:rFonts w:hint="eastAsia" w:ascii="宋体" w:hAnsi="宋体" w:cs="宋体"/>
          <w:b/>
          <w:bCs/>
          <w:color w:val="auto"/>
          <w:sz w:val="24"/>
          <w:szCs w:val="32"/>
          <w:highlight w:val="none"/>
        </w:rPr>
        <w:t>（四）特别说明</w:t>
      </w:r>
      <w:bookmarkEnd w:id="12"/>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1、投标人投标所使用的资格、信誉、荣誉、业绩与企业认证必须为本法人所拥有。投标人投标所使用的采购项目实施人员必须为本法人员工（指本法人或控股公司正式员工）。</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5、为采购项目提供整体设计、规范编制或者项目管理、监理、检测等服务的供应商，不得再参加该采购项目的其他采购活动。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6、投标文件格式中的表格式样可以根据项目差别做适当调整，但应当保持表格样式基本形态不变。</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7、单位负责人为同一人或者存在直接控股、管理关系的不同供应商，不得参加同一合同项下的政府采购活动。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8、本项目不允许分包</w:t>
      </w:r>
      <w:r>
        <w:rPr>
          <w:rFonts w:hint="eastAsia" w:ascii="宋体" w:hAnsi="宋体" w:cs="宋体"/>
          <w:color w:val="auto"/>
          <w:sz w:val="24"/>
          <w:highlight w:val="none"/>
        </w:rPr>
        <w:t>。</w:t>
      </w:r>
    </w:p>
    <w:p>
      <w:pPr>
        <w:spacing w:line="360" w:lineRule="auto"/>
        <w:outlineLvl w:val="1"/>
        <w:rPr>
          <w:rFonts w:ascii="宋体" w:hAnsi="宋体" w:cs="宋体"/>
          <w:b/>
          <w:bCs/>
          <w:color w:val="auto"/>
          <w:sz w:val="24"/>
          <w:szCs w:val="32"/>
          <w:highlight w:val="none"/>
        </w:rPr>
      </w:pPr>
      <w:bookmarkStart w:id="13" w:name="_Toc21369"/>
      <w:r>
        <w:rPr>
          <w:rFonts w:hint="eastAsia" w:ascii="宋体" w:hAnsi="宋体" w:cs="宋体"/>
          <w:b/>
          <w:bCs/>
          <w:color w:val="auto"/>
          <w:sz w:val="24"/>
          <w:szCs w:val="32"/>
          <w:highlight w:val="none"/>
        </w:rPr>
        <w:t>二、招标文件</w:t>
      </w:r>
      <w:bookmarkEnd w:id="13"/>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outlineLvl w:val="1"/>
        <w:rPr>
          <w:rFonts w:ascii="宋体" w:hAnsi="宋体" w:cs="宋体"/>
          <w:b/>
          <w:bCs/>
          <w:color w:val="auto"/>
          <w:sz w:val="24"/>
          <w:szCs w:val="32"/>
          <w:highlight w:val="none"/>
        </w:rPr>
      </w:pPr>
      <w:bookmarkStart w:id="14" w:name="_Toc31951"/>
      <w:r>
        <w:rPr>
          <w:rFonts w:hint="eastAsia" w:ascii="宋体" w:hAnsi="宋体" w:cs="宋体"/>
          <w:b/>
          <w:bCs/>
          <w:color w:val="auto"/>
          <w:sz w:val="24"/>
          <w:szCs w:val="32"/>
          <w:highlight w:val="none"/>
        </w:rPr>
        <w:t>三、投标文件</w:t>
      </w:r>
      <w:bookmarkEnd w:id="14"/>
    </w:p>
    <w:p>
      <w:pPr>
        <w:spacing w:line="360" w:lineRule="auto"/>
        <w:ind w:firstLine="482" w:firstLineChars="200"/>
        <w:outlineLvl w:val="2"/>
        <w:rPr>
          <w:rFonts w:ascii="宋体" w:hAnsi="宋体" w:cs="宋体"/>
          <w:b/>
          <w:bCs/>
          <w:color w:val="auto"/>
          <w:sz w:val="24"/>
          <w:szCs w:val="32"/>
          <w:highlight w:val="none"/>
        </w:rPr>
      </w:pPr>
      <w:bookmarkStart w:id="15" w:name="_Toc2849"/>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bookmarkEnd w:id="15"/>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r>
        <w:rPr>
          <w:rFonts w:hint="eastAsia" w:ascii="宋体" w:hAnsi="宋体" w:cs="宋体"/>
          <w:color w:val="auto"/>
          <w:sz w:val="24"/>
          <w:szCs w:val="32"/>
          <w:highlight w:val="none"/>
          <w:lang w:val="zh-CN"/>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1、资格及商务技术文件的组成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资格及商务技术文件由资格证明文件、商务与技术文件两部分内容组成。</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第一部分 资格证明文件的组成：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（6）提供采购公告中符合供应商特定条件的有效资质证书复印件（投标供应商特定条件中有要求的必须提供），以及需要说明的其他资料</w:t>
      </w:r>
      <w:r>
        <w:rPr>
          <w:rFonts w:hint="eastAsia" w:ascii="宋体" w:hAnsi="宋体" w:cs="宋体"/>
          <w:color w:val="auto"/>
          <w:sz w:val="24"/>
          <w:szCs w:val="32"/>
          <w:highlight w:val="none"/>
          <w:lang w:eastAsia="zh-CN"/>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第二部分 商务与技术文件的组成：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（3）商务及技术响应表；</w:t>
      </w:r>
    </w:p>
    <w:p>
      <w:pPr>
        <w:snapToGrid w:val="0"/>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lang w:eastAsia="zh-CN"/>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3、报价文件的组成</w:t>
      </w:r>
    </w:p>
    <w:p>
      <w:pPr>
        <w:autoSpaceDE w:val="0"/>
        <w:autoSpaceDN w:val="0"/>
        <w:adjustRightInd w:val="0"/>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中小企业等声明函（不符合中小企业要求的无需提供）以及投标人认为其他需要说明的内容组成。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kern w:val="0"/>
          <w:sz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spacing w:line="360" w:lineRule="auto"/>
        <w:ind w:firstLine="482" w:firstLineChars="200"/>
        <w:outlineLvl w:val="2"/>
        <w:rPr>
          <w:rFonts w:ascii="宋体" w:hAnsi="宋体" w:cs="宋体"/>
          <w:b/>
          <w:bCs/>
          <w:color w:val="auto"/>
          <w:sz w:val="24"/>
          <w:szCs w:val="32"/>
          <w:highlight w:val="none"/>
        </w:rPr>
      </w:pPr>
      <w:bookmarkStart w:id="16" w:name="_Toc19104"/>
      <w:r>
        <w:rPr>
          <w:rFonts w:hint="eastAsia" w:ascii="宋体" w:hAnsi="宋体" w:cs="宋体"/>
          <w:b/>
          <w:bCs/>
          <w:color w:val="auto"/>
          <w:sz w:val="24"/>
          <w:szCs w:val="32"/>
          <w:highlight w:val="none"/>
        </w:rPr>
        <w:t>（二）投标文件的制作、封装及递交要求</w:t>
      </w:r>
      <w:bookmarkEnd w:id="16"/>
    </w:p>
    <w:p>
      <w:pPr>
        <w:pStyle w:val="80"/>
        <w:snapToGrid w:val="0"/>
        <w:spacing w:before="0"/>
        <w:ind w:firstLine="482"/>
        <w:outlineLvl w:val="0"/>
        <w:rPr>
          <w:rFonts w:ascii="宋体" w:hAnsi="宋体" w:cs="宋体"/>
          <w:b/>
          <w:bCs/>
          <w:color w:val="auto"/>
          <w:szCs w:val="24"/>
          <w:highlight w:val="none"/>
          <w:lang w:val="en-GB"/>
        </w:rPr>
      </w:pPr>
      <w:bookmarkStart w:id="17" w:name="_Toc28786"/>
      <w:bookmarkStart w:id="18" w:name="_Toc14690"/>
      <w:r>
        <w:rPr>
          <w:rFonts w:hint="eastAsia" w:ascii="宋体" w:hAnsi="宋体" w:cs="宋体"/>
          <w:b/>
          <w:bCs/>
          <w:color w:val="auto"/>
          <w:szCs w:val="24"/>
          <w:highlight w:val="none"/>
        </w:rPr>
        <w:t xml:space="preserve">1. </w:t>
      </w:r>
      <w:r>
        <w:rPr>
          <w:rFonts w:hint="eastAsia" w:ascii="宋体" w:hAnsi="宋体" w:cs="宋体"/>
          <w:b/>
          <w:bCs/>
          <w:color w:val="auto"/>
          <w:szCs w:val="24"/>
          <w:highlight w:val="none"/>
          <w:lang w:val="en-GB"/>
        </w:rPr>
        <w:t>投标文件的编制</w:t>
      </w:r>
      <w:bookmarkEnd w:id="17"/>
      <w:bookmarkEnd w:id="18"/>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.1本项目通过“政府采购云平台（www.zcygov.cn）”实行在线投标响应（电子投标）。投标人应通过“政采云电子交易客户端”，并按照本招标文件和“政府采购云平台”的要求编制并加密投标文件。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1.2投标人应当按照本章节 “投标文件组成”规定的内容及顺序在“政采云电子交易客户端”编制投标文件。其中</w:t>
      </w:r>
      <w:r>
        <w:rPr>
          <w:rFonts w:hint="eastAsia" w:ascii="宋体" w:hAnsi="宋体" w:cs="宋体"/>
          <w:color w:val="auto"/>
          <w:sz w:val="24"/>
          <w:highlight w:val="none"/>
        </w:rPr>
        <w:t>资格及商务技术文件</w:t>
      </w:r>
      <w:r>
        <w:rPr>
          <w:rFonts w:hint="eastAsia" w:ascii="宋体" w:hAnsi="宋体" w:cs="宋体"/>
          <w:color w:val="auto"/>
          <w:sz w:val="24"/>
          <w:highlight w:val="none"/>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zh-CN"/>
        </w:rPr>
        <w:t>1.3投标文件分为</w:t>
      </w:r>
      <w:r>
        <w:rPr>
          <w:rFonts w:hint="eastAsia" w:ascii="宋体" w:hAnsi="宋体" w:cs="宋体"/>
          <w:color w:val="auto"/>
          <w:sz w:val="24"/>
          <w:highlight w:val="none"/>
        </w:rPr>
        <w:t>资格及商务技术文件、报价文件二部分</w:t>
      </w:r>
      <w:r>
        <w:rPr>
          <w:rFonts w:hint="eastAsia" w:ascii="宋体" w:hAnsi="宋体" w:cs="宋体"/>
          <w:color w:val="auto"/>
          <w:sz w:val="24"/>
          <w:highlight w:val="none"/>
          <w:lang w:val="zh-CN"/>
        </w:rPr>
        <w:t>。各投标人在编制投标文件时请按照采购文件第六部分规定的格式进行，</w:t>
      </w:r>
      <w:r>
        <w:rPr>
          <w:rFonts w:hint="eastAsia" w:ascii="宋体" w:hAnsi="宋体" w:cs="宋体"/>
          <w:color w:val="auto"/>
          <w:sz w:val="24"/>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1.4《投标文件》内容不完整、</w:t>
      </w:r>
      <w:r>
        <w:rPr>
          <w:rFonts w:hint="eastAsia" w:ascii="宋体" w:hAnsi="宋体" w:cs="宋体"/>
          <w:color w:val="auto"/>
          <w:sz w:val="24"/>
          <w:highlight w:val="none"/>
          <w:lang w:val="zh-CN"/>
        </w:rPr>
        <w:t>混乱的编排导致投标文件被误读或评标委员会查找不到有效文件是投标人的责任。</w:t>
      </w:r>
      <w:r>
        <w:rPr>
          <w:rFonts w:hint="eastAsia" w:ascii="宋体" w:hAnsi="宋体" w:cs="宋体"/>
          <w:color w:val="auto"/>
          <w:sz w:val="24"/>
          <w:highlight w:val="none"/>
          <w:lang w:val="en-GB"/>
        </w:rPr>
        <w:t>《投标文件》因字迹潦草或表达不清所引起的后果由投标人负责。</w:t>
      </w:r>
    </w:p>
    <w:p>
      <w:pP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2.提供纸质投标文件要求：见《前附表》</w:t>
      </w:r>
    </w:p>
    <w:p>
      <w:pP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3.投标文件的签章</w:t>
      </w:r>
    </w:p>
    <w:p>
      <w:pPr>
        <w:pStyle w:val="80"/>
        <w:snapToGrid w:val="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文件按照采购文件第六部分格式要求进行签署、盖章。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pStyle w:val="13"/>
        <w:spacing w:line="360" w:lineRule="auto"/>
        <w:ind w:firstLine="482" w:firstLineChars="200"/>
        <w:rPr>
          <w:rFonts w:hAnsi="宋体" w:cs="宋体"/>
          <w:b/>
          <w:bCs/>
          <w:color w:val="auto"/>
          <w:sz w:val="24"/>
          <w:highlight w:val="none"/>
          <w:lang w:val="en-GB"/>
        </w:rPr>
      </w:pPr>
      <w:r>
        <w:rPr>
          <w:rFonts w:hint="eastAsia" w:hAnsi="宋体" w:cs="宋体"/>
          <w:b/>
          <w:bCs/>
          <w:color w:val="auto"/>
          <w:sz w:val="24"/>
          <w:highlight w:val="none"/>
          <w:lang w:val="en-GB"/>
        </w:rPr>
        <w:t>4. 备份投标文件的密封与标志</w:t>
      </w:r>
    </w:p>
    <w:p>
      <w:pPr>
        <w:pStyle w:val="8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4.1备份投标文件须密封包装。没有密封包装的投标文件，将被拒收。</w:t>
      </w:r>
    </w:p>
    <w:p>
      <w:pPr>
        <w:snapToGrid w:val="0"/>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4.2备份投标文件包装封面物应写明项目名称、投标人名称(联合体投标的，包装物封面需注明联合体投标，并注明联合体成员各方的名称和联合体协议中约定的牵头人的名称)。</w:t>
      </w:r>
    </w:p>
    <w:p>
      <w:pPr>
        <w:pStyle w:val="80"/>
        <w:spacing w:before="0"/>
        <w:ind w:firstLine="482"/>
        <w:rPr>
          <w:rFonts w:ascii="宋体" w:hAnsi="宋体" w:cs="宋体"/>
          <w:b/>
          <w:bCs/>
          <w:color w:val="auto"/>
          <w:szCs w:val="24"/>
          <w:highlight w:val="none"/>
          <w:lang w:val="en-GB"/>
        </w:rPr>
      </w:pPr>
      <w:r>
        <w:rPr>
          <w:rFonts w:hint="eastAsia" w:ascii="宋体" w:hAnsi="宋体" w:cs="宋体"/>
          <w:b/>
          <w:bCs/>
          <w:color w:val="auto"/>
          <w:szCs w:val="24"/>
          <w:highlight w:val="none"/>
          <w:lang w:val="en-GB"/>
        </w:rPr>
        <w:t>5. 投标文件的上传和递交</w:t>
      </w:r>
    </w:p>
    <w:p>
      <w:pPr>
        <w:pStyle w:val="8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5.1“投标文件”的上传、递交：见《前附表》。未传输递交电子投标文件的，投标无效。</w:t>
      </w:r>
    </w:p>
    <w:p>
      <w:pPr>
        <w:pStyle w:val="8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2</w:t>
      </w:r>
      <w:r>
        <w:rPr>
          <w:rFonts w:hint="eastAsia" w:ascii="宋体" w:hAnsi="宋体" w:cs="宋体"/>
          <w:color w:val="auto"/>
          <w:szCs w:val="24"/>
          <w:highlight w:val="none"/>
          <w:lang w:val="en-GB"/>
        </w:rPr>
        <w:t>投标人应当在投标截止时间将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pStyle w:val="8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3</w:t>
      </w:r>
      <w:r>
        <w:rPr>
          <w:rFonts w:hint="eastAsia" w:ascii="宋体" w:hAnsi="宋体" w:cs="宋体"/>
          <w:color w:val="auto"/>
          <w:szCs w:val="24"/>
          <w:highlight w:val="none"/>
          <w:lang w:val="en-GB"/>
        </w:rPr>
        <w:t>投标文件的备选方案</w:t>
      </w:r>
    </w:p>
    <w:p>
      <w:pPr>
        <w:pStyle w:val="8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投标人不得递交任何的投标备选（替代）方案，否则其投标文件将作无效标处理。与“电子加密投标文件”同时生成的“备份投标文件”不是投标备选（替代）方案。</w:t>
      </w:r>
    </w:p>
    <w:p>
      <w:pPr>
        <w:pStyle w:val="13"/>
        <w:spacing w:line="360" w:lineRule="auto"/>
        <w:ind w:firstLine="480" w:firstLineChars="200"/>
        <w:rPr>
          <w:rFonts w:hAnsi="宋体" w:cs="宋体"/>
          <w:color w:val="auto"/>
          <w:sz w:val="24"/>
          <w:highlight w:val="none"/>
          <w:lang w:val="en-GB"/>
        </w:rPr>
      </w:pPr>
      <w:r>
        <w:rPr>
          <w:rFonts w:hint="eastAsia" w:hAnsi="宋体" w:cs="宋体"/>
          <w:color w:val="auto"/>
          <w:sz w:val="24"/>
          <w:highlight w:val="none"/>
          <w:lang w:val="en-GB"/>
        </w:rPr>
        <w:t>6. 投标文件的补充、修改、撤回</w:t>
      </w:r>
    </w:p>
    <w:p>
      <w:pPr>
        <w:pStyle w:val="8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8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w:t>
      </w:r>
      <w:r>
        <w:rPr>
          <w:rFonts w:hint="eastAsia" w:ascii="宋体" w:hAnsi="宋体" w:cs="宋体"/>
          <w:color w:val="auto"/>
          <w:szCs w:val="24"/>
          <w:highlight w:val="none"/>
        </w:rPr>
        <w:t>2</w:t>
      </w:r>
      <w:r>
        <w:rPr>
          <w:rFonts w:hint="eastAsia" w:ascii="宋体" w:hAnsi="宋体" w:cs="宋体"/>
          <w:color w:val="auto"/>
          <w:szCs w:val="24"/>
          <w:highlight w:val="none"/>
          <w:lang w:val="en-GB"/>
        </w:rPr>
        <w:t>投标截止时间后，投标供应商不得撤回、修改投标文件。</w:t>
      </w:r>
    </w:p>
    <w:p>
      <w:pPr>
        <w:pStyle w:val="80"/>
        <w:ind w:firstLine="480"/>
        <w:rPr>
          <w:rFonts w:ascii="宋体" w:hAnsi="宋体" w:cs="宋体"/>
          <w:color w:val="auto"/>
          <w:szCs w:val="24"/>
          <w:highlight w:val="none"/>
          <w:lang w:val="en-GB"/>
        </w:rPr>
      </w:pPr>
      <w:r>
        <w:rPr>
          <w:rFonts w:hint="eastAsia" w:ascii="宋体" w:hAnsi="宋体" w:cs="宋体"/>
          <w:color w:val="auto"/>
          <w:szCs w:val="24"/>
          <w:highlight w:val="none"/>
        </w:rPr>
        <w:t>6.3</w:t>
      </w:r>
      <w:r>
        <w:rPr>
          <w:rFonts w:hint="eastAsia" w:ascii="宋体" w:hAnsi="宋体" w:cs="宋体"/>
          <w:color w:val="auto"/>
          <w:szCs w:val="24"/>
          <w:highlight w:val="none"/>
          <w:lang w:val="en-GB"/>
        </w:rPr>
        <w:t>在开标后规定的投标有效期内，投标人不能撤销投标文件。</w:t>
      </w:r>
    </w:p>
    <w:p>
      <w:pPr>
        <w:spacing w:line="360" w:lineRule="auto"/>
        <w:ind w:firstLine="482" w:firstLineChars="200"/>
        <w:outlineLvl w:val="2"/>
        <w:rPr>
          <w:rFonts w:ascii="宋体" w:hAnsi="宋体" w:cs="宋体"/>
          <w:b/>
          <w:bCs/>
          <w:color w:val="auto"/>
          <w:sz w:val="24"/>
          <w:szCs w:val="32"/>
          <w:highlight w:val="none"/>
        </w:rPr>
      </w:pPr>
      <w:bookmarkStart w:id="19" w:name="_Toc9979"/>
      <w:r>
        <w:rPr>
          <w:rFonts w:hint="eastAsia" w:ascii="宋体" w:hAnsi="宋体" w:cs="宋体"/>
          <w:b/>
          <w:bCs/>
          <w:color w:val="auto"/>
          <w:sz w:val="24"/>
          <w:szCs w:val="32"/>
          <w:highlight w:val="none"/>
        </w:rPr>
        <w:t>（三）投标文件的有效期</w:t>
      </w:r>
      <w:bookmarkEnd w:id="19"/>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3、中标人的投标文件自开标之日起至合同履行完毕均应保持有效。</w:t>
      </w:r>
    </w:p>
    <w:p>
      <w:pPr>
        <w:spacing w:line="360" w:lineRule="auto"/>
        <w:ind w:firstLine="482" w:firstLineChars="200"/>
        <w:outlineLvl w:val="1"/>
        <w:rPr>
          <w:rFonts w:ascii="宋体" w:hAnsi="宋体" w:cs="宋体"/>
          <w:color w:val="auto"/>
          <w:sz w:val="24"/>
          <w:highlight w:val="none"/>
        </w:rPr>
      </w:pPr>
      <w:bookmarkStart w:id="20" w:name="_Toc19605"/>
      <w:r>
        <w:rPr>
          <w:rFonts w:hint="eastAsia" w:ascii="宋体" w:hAnsi="宋体" w:cs="宋体"/>
          <w:b/>
          <w:bCs/>
          <w:color w:val="auto"/>
          <w:sz w:val="24"/>
          <w:szCs w:val="32"/>
          <w:highlight w:val="none"/>
        </w:rPr>
        <w:t>四、开标</w:t>
      </w:r>
      <w:bookmarkEnd w:id="20"/>
    </w:p>
    <w:p>
      <w:pPr>
        <w:spacing w:line="360" w:lineRule="auto"/>
        <w:ind w:firstLine="480" w:firstLineChars="200"/>
        <w:outlineLvl w:val="2"/>
        <w:rPr>
          <w:rFonts w:ascii="宋体" w:hAnsi="宋体" w:cs="宋体"/>
          <w:color w:val="auto"/>
          <w:sz w:val="24"/>
          <w:highlight w:val="none"/>
        </w:rPr>
      </w:pPr>
      <w:bookmarkStart w:id="21" w:name="_Toc31897"/>
      <w:r>
        <w:rPr>
          <w:rFonts w:hint="eastAsia" w:ascii="宋体" w:hAnsi="宋体" w:cs="宋体"/>
          <w:color w:val="auto"/>
          <w:sz w:val="24"/>
          <w:highlight w:val="none"/>
        </w:rPr>
        <w:t>（一）开标事项</w:t>
      </w:r>
      <w:bookmarkEnd w:id="2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（4）病毒发作导致不能进行正常操作的；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outlineLvl w:val="2"/>
        <w:rPr>
          <w:rFonts w:ascii="宋体" w:hAnsi="宋体" w:cs="宋体"/>
          <w:color w:val="auto"/>
          <w:sz w:val="24"/>
          <w:highlight w:val="none"/>
        </w:rPr>
      </w:pPr>
      <w:bookmarkStart w:id="22" w:name="_Toc21701"/>
      <w:r>
        <w:rPr>
          <w:rFonts w:hint="eastAsia" w:ascii="宋体" w:hAnsi="宋体" w:cs="宋体"/>
          <w:color w:val="auto"/>
          <w:sz w:val="24"/>
          <w:highlight w:val="none"/>
        </w:rPr>
        <w:t>（二） 开标程序</w:t>
      </w:r>
      <w:bookmarkEnd w:id="22"/>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6、资格及商务技术文件评审；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pacing w:line="360" w:lineRule="auto"/>
        <w:ind w:firstLine="482" w:firstLineChars="200"/>
        <w:outlineLvl w:val="1"/>
        <w:rPr>
          <w:rFonts w:ascii="宋体" w:hAnsi="宋体" w:cs="宋体"/>
          <w:b/>
          <w:bCs/>
          <w:color w:val="auto"/>
          <w:sz w:val="24"/>
          <w:szCs w:val="32"/>
          <w:highlight w:val="none"/>
        </w:rPr>
      </w:pPr>
      <w:bookmarkStart w:id="23" w:name="_Toc29579"/>
      <w:r>
        <w:rPr>
          <w:rFonts w:hint="eastAsia" w:ascii="宋体" w:hAnsi="宋体" w:cs="宋体"/>
          <w:b/>
          <w:bCs/>
          <w:color w:val="auto"/>
          <w:sz w:val="24"/>
          <w:szCs w:val="32"/>
          <w:highlight w:val="none"/>
        </w:rPr>
        <w:t>五、评标</w:t>
      </w:r>
      <w:bookmarkEnd w:id="23"/>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outlineLvl w:val="2"/>
        <w:rPr>
          <w:rFonts w:ascii="宋体" w:hAnsi="宋体" w:cs="宋体"/>
          <w:b/>
          <w:bCs/>
          <w:color w:val="auto"/>
          <w:sz w:val="24"/>
          <w:szCs w:val="32"/>
          <w:highlight w:val="none"/>
        </w:rPr>
      </w:pPr>
      <w:bookmarkStart w:id="24" w:name="_Toc16776"/>
      <w:r>
        <w:rPr>
          <w:rFonts w:hint="eastAsia" w:ascii="宋体" w:hAnsi="宋体" w:cs="宋体"/>
          <w:b/>
          <w:bCs/>
          <w:color w:val="auto"/>
          <w:sz w:val="24"/>
          <w:szCs w:val="32"/>
          <w:highlight w:val="none"/>
        </w:rPr>
        <w:t>（一）组建评标委员会</w:t>
      </w:r>
      <w:bookmarkEnd w:id="2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outlineLvl w:val="2"/>
        <w:rPr>
          <w:rFonts w:ascii="宋体" w:hAnsi="宋体" w:cs="宋体"/>
          <w:b/>
          <w:bCs/>
          <w:color w:val="auto"/>
          <w:sz w:val="24"/>
          <w:szCs w:val="32"/>
          <w:highlight w:val="none"/>
        </w:rPr>
      </w:pPr>
      <w:bookmarkStart w:id="25" w:name="_Toc14351"/>
      <w:r>
        <w:rPr>
          <w:rFonts w:hint="eastAsia" w:ascii="宋体" w:hAnsi="宋体" w:cs="宋体"/>
          <w:b/>
          <w:bCs/>
          <w:color w:val="auto"/>
          <w:sz w:val="24"/>
          <w:szCs w:val="32"/>
          <w:highlight w:val="none"/>
        </w:rPr>
        <w:t>（二）评标程序</w:t>
      </w:r>
      <w:bookmarkEnd w:id="25"/>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（1）评标委员会对报价文件进行复核，对于系统计算出的价格分及总得分进行确认；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（3）评标委员会按评标原则及得分情况编写评审报告。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采购组织机构对评标委员会评审专家进行评价。</w:t>
      </w:r>
    </w:p>
    <w:p>
      <w:pPr>
        <w:spacing w:line="360" w:lineRule="auto"/>
        <w:ind w:firstLine="482" w:firstLineChars="200"/>
        <w:outlineLvl w:val="2"/>
        <w:rPr>
          <w:rFonts w:ascii="宋体" w:hAnsi="宋体" w:cs="宋体"/>
          <w:b/>
          <w:bCs/>
          <w:color w:val="auto"/>
          <w:sz w:val="24"/>
          <w:szCs w:val="32"/>
          <w:highlight w:val="none"/>
        </w:rPr>
      </w:pPr>
      <w:bookmarkStart w:id="26" w:name="_Toc21685"/>
      <w:r>
        <w:rPr>
          <w:rFonts w:hint="eastAsia" w:ascii="宋体" w:hAnsi="宋体" w:cs="宋体"/>
          <w:b/>
          <w:bCs/>
          <w:color w:val="auto"/>
          <w:sz w:val="24"/>
          <w:szCs w:val="32"/>
          <w:highlight w:val="none"/>
        </w:rPr>
        <w:t>（三）澄清问题的形式</w:t>
      </w:r>
      <w:bookmarkEnd w:id="2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投标人的澄清、说明或者补正应当采用书面形式，并加盖公章或者由法定代理人或其授权的代表签字，并不得超出投标文件的范围或者改变投标文件的实质性内容。</w:t>
      </w:r>
    </w:p>
    <w:p>
      <w:pPr>
        <w:spacing w:line="360" w:lineRule="auto"/>
        <w:ind w:firstLine="482" w:firstLineChars="200"/>
        <w:outlineLvl w:val="2"/>
        <w:rPr>
          <w:rFonts w:ascii="宋体" w:hAnsi="宋体" w:cs="宋体"/>
          <w:b/>
          <w:bCs/>
          <w:color w:val="auto"/>
          <w:sz w:val="24"/>
          <w:szCs w:val="32"/>
          <w:highlight w:val="none"/>
        </w:rPr>
      </w:pPr>
      <w:bookmarkStart w:id="27" w:name="_Toc22787"/>
      <w:r>
        <w:rPr>
          <w:rFonts w:hint="eastAsia" w:ascii="宋体" w:hAnsi="宋体" w:cs="宋体"/>
          <w:b/>
          <w:bCs/>
          <w:color w:val="auto"/>
          <w:sz w:val="24"/>
          <w:szCs w:val="32"/>
          <w:highlight w:val="none"/>
        </w:rPr>
        <w:t>（四）错误修正</w:t>
      </w:r>
      <w:bookmarkEnd w:id="27"/>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pacing w:line="360" w:lineRule="auto"/>
        <w:ind w:firstLine="482" w:firstLineChars="200"/>
        <w:outlineLvl w:val="2"/>
        <w:rPr>
          <w:rFonts w:ascii="宋体" w:hAnsi="宋体" w:cs="宋体"/>
          <w:b/>
          <w:bCs/>
          <w:color w:val="auto"/>
          <w:sz w:val="24"/>
          <w:szCs w:val="32"/>
          <w:highlight w:val="none"/>
        </w:rPr>
      </w:pPr>
      <w:bookmarkStart w:id="28" w:name="_Toc27779"/>
      <w:r>
        <w:rPr>
          <w:rFonts w:hint="eastAsia" w:ascii="宋体" w:hAnsi="宋体" w:cs="宋体"/>
          <w:b/>
          <w:bCs/>
          <w:color w:val="auto"/>
          <w:sz w:val="24"/>
          <w:szCs w:val="32"/>
          <w:highlight w:val="none"/>
        </w:rPr>
        <w:t>（五）投标人存在下列情况之一的，投标无效</w:t>
      </w:r>
      <w:bookmarkEnd w:id="28"/>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2、资格及商务技术文件跟报价文件出现混装或在</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hint="eastAsia"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8</w:t>
      </w:r>
      <w:r>
        <w:rPr>
          <w:rFonts w:hint="eastAsia" w:ascii="宋体" w:hAnsi="宋体" w:cs="宋体"/>
          <w:color w:val="auto"/>
          <w:sz w:val="24"/>
          <w:szCs w:val="32"/>
          <w:highlight w:val="none"/>
        </w:rPr>
        <w:t>、投标参数未如实填写，完全复制粘贴招标参数的。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、投标文件提供虚假材料的。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0</w:t>
      </w:r>
      <w:r>
        <w:rPr>
          <w:rFonts w:hint="eastAsia" w:ascii="宋体" w:hAnsi="宋体" w:cs="宋体"/>
          <w:color w:val="auto"/>
          <w:sz w:val="24"/>
          <w:szCs w:val="32"/>
          <w:highlight w:val="none"/>
        </w:rPr>
        <w:t>、不符合中华人民共和国财政部令第87号《政府采购货物和服务招标投标管理办法》第三十七条情形之一的，视为投标人串通投标，其投标无效，并移送采购监管部门：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11</w:t>
      </w:r>
      <w:r>
        <w:rPr>
          <w:rFonts w:hint="eastAsia" w:ascii="宋体" w:hAnsi="宋体" w:cs="宋体"/>
          <w:color w:val="auto"/>
          <w:sz w:val="24"/>
          <w:szCs w:val="32"/>
          <w:highlight w:val="none"/>
        </w:rPr>
        <w:t>、不符合法律、法规和招标文件中规定的其他实质性要求的（招标文件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中打“▲”内容及被拒绝的条款）。</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val="en-US" w:eastAsia="zh-CN"/>
        </w:rPr>
        <w:t>12</w:t>
      </w:r>
      <w:r>
        <w:rPr>
          <w:rFonts w:hint="eastAsia" w:ascii="宋体" w:hAnsi="宋体" w:cs="宋体"/>
          <w:color w:val="auto"/>
          <w:sz w:val="24"/>
          <w:szCs w:val="32"/>
          <w:highlight w:val="none"/>
        </w:rPr>
        <w:t>、未传输递交电子投标文件的或者未按规定提供相应的备份投标文件，造成项目开评标活动无法进行下去的</w:t>
      </w:r>
      <w:r>
        <w:rPr>
          <w:rFonts w:hint="eastAsia" w:ascii="宋体" w:hAnsi="宋体" w:cs="宋体"/>
          <w:color w:val="auto"/>
          <w:sz w:val="24"/>
          <w:szCs w:val="32"/>
          <w:highlight w:val="none"/>
          <w:lang w:eastAsia="zh-CN"/>
        </w:rPr>
        <w:t>。</w:t>
      </w:r>
    </w:p>
    <w:p>
      <w:pPr>
        <w:spacing w:line="360" w:lineRule="auto"/>
        <w:ind w:firstLine="482" w:firstLineChars="200"/>
        <w:outlineLvl w:val="2"/>
        <w:rPr>
          <w:rFonts w:ascii="宋体" w:hAnsi="宋体" w:cs="宋体"/>
          <w:b/>
          <w:bCs/>
          <w:color w:val="auto"/>
          <w:sz w:val="24"/>
          <w:szCs w:val="32"/>
          <w:highlight w:val="none"/>
        </w:rPr>
      </w:pPr>
      <w:bookmarkStart w:id="29" w:name="_Toc822"/>
      <w:r>
        <w:rPr>
          <w:rFonts w:hint="eastAsia" w:ascii="宋体" w:hAnsi="宋体" w:cs="宋体"/>
          <w:b/>
          <w:bCs/>
          <w:color w:val="auto"/>
          <w:sz w:val="24"/>
          <w:szCs w:val="32"/>
          <w:highlight w:val="none"/>
        </w:rPr>
        <w:t>（六）有下列情况之一的，本次招标作为废标处理</w:t>
      </w:r>
      <w:bookmarkEnd w:id="2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1、出现影响采购公正的违法、违规行为的；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3、因重大变故，采购任务取消的；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4、法律、法规和招标文件规定的其他导致评标结果无效的。</w:t>
      </w:r>
    </w:p>
    <w:p>
      <w:pPr>
        <w:spacing w:line="360" w:lineRule="auto"/>
        <w:ind w:firstLine="482" w:firstLineChars="200"/>
        <w:outlineLvl w:val="2"/>
        <w:rPr>
          <w:rFonts w:ascii="宋体" w:hAnsi="宋体" w:cs="宋体"/>
          <w:b/>
          <w:bCs/>
          <w:color w:val="auto"/>
          <w:sz w:val="24"/>
          <w:szCs w:val="32"/>
          <w:highlight w:val="none"/>
        </w:rPr>
      </w:pPr>
      <w:bookmarkStart w:id="30" w:name="_Toc29751"/>
      <w:r>
        <w:rPr>
          <w:rFonts w:hint="eastAsia" w:ascii="宋体" w:hAnsi="宋体" w:cs="宋体"/>
          <w:b/>
          <w:bCs/>
          <w:color w:val="auto"/>
          <w:sz w:val="24"/>
          <w:szCs w:val="32"/>
          <w:highlight w:val="none"/>
        </w:rPr>
        <w:t>（七）评标原则和评标办法</w:t>
      </w:r>
      <w:bookmarkEnd w:id="3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2、评标办法。具体评标内容及评分标准等详见《第三章：评标方法及评分标准》。</w:t>
      </w:r>
    </w:p>
    <w:p>
      <w:pPr>
        <w:spacing w:line="360" w:lineRule="auto"/>
        <w:ind w:firstLine="482" w:firstLineChars="200"/>
        <w:outlineLvl w:val="2"/>
        <w:rPr>
          <w:rFonts w:ascii="宋体" w:hAnsi="宋体" w:cs="宋体"/>
          <w:b/>
          <w:bCs/>
          <w:color w:val="auto"/>
          <w:sz w:val="24"/>
          <w:szCs w:val="32"/>
          <w:highlight w:val="none"/>
        </w:rPr>
      </w:pPr>
      <w:bookmarkStart w:id="31" w:name="_Toc18394"/>
      <w:r>
        <w:rPr>
          <w:rFonts w:hint="eastAsia" w:ascii="宋体" w:hAnsi="宋体" w:cs="宋体"/>
          <w:b/>
          <w:bCs/>
          <w:color w:val="auto"/>
          <w:sz w:val="24"/>
          <w:szCs w:val="32"/>
          <w:highlight w:val="none"/>
        </w:rPr>
        <w:t>（八）评标过程的监控</w:t>
      </w:r>
      <w:bookmarkEnd w:id="3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ind w:firstLine="482" w:firstLineChars="200"/>
        <w:outlineLvl w:val="1"/>
        <w:rPr>
          <w:rFonts w:ascii="宋体" w:hAnsi="宋体" w:cs="宋体"/>
          <w:b/>
          <w:bCs/>
          <w:color w:val="auto"/>
          <w:sz w:val="24"/>
          <w:szCs w:val="32"/>
          <w:highlight w:val="none"/>
        </w:rPr>
      </w:pPr>
      <w:bookmarkStart w:id="32" w:name="_Toc18224"/>
      <w:r>
        <w:rPr>
          <w:rFonts w:hint="eastAsia" w:ascii="宋体" w:hAnsi="宋体" w:cs="宋体"/>
          <w:b/>
          <w:bCs/>
          <w:color w:val="auto"/>
          <w:sz w:val="24"/>
          <w:szCs w:val="32"/>
          <w:highlight w:val="none"/>
        </w:rPr>
        <w:t>六、定标</w:t>
      </w:r>
      <w:bookmarkEnd w:id="32"/>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pStyle w:val="22"/>
        <w:spacing w:before="0" w:beforeAutospacing="0" w:after="0" w:afterAutospacing="0" w:line="360" w:lineRule="auto"/>
        <w:ind w:firstLine="480" w:firstLineChars="200"/>
        <w:jc w:val="both"/>
        <w:rPr>
          <w:rFonts w:cs="宋体"/>
          <w:color w:val="auto"/>
          <w:highlight w:val="none"/>
        </w:rPr>
      </w:pPr>
      <w:r>
        <w:rPr>
          <w:rFonts w:hint="eastAsia" w:cs="宋体"/>
          <w:color w:val="auto"/>
          <w:highlight w:val="none"/>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5、招标代理费：以本项目中标价为基数，按计价格[2002]1980号文件、发改办价格[2003]857号、发改价格[2011]534号收费标准的</w:t>
      </w:r>
      <w:r>
        <w:rPr>
          <w:rFonts w:hint="eastAsia" w:ascii="宋体" w:hAnsi="宋体" w:cs="宋体"/>
          <w:color w:val="auto"/>
          <w:sz w:val="24"/>
          <w:highlight w:val="none"/>
          <w:lang w:val="en-US" w:eastAsia="zh-CN"/>
        </w:rPr>
        <w:t>39.8</w:t>
      </w:r>
      <w:r>
        <w:rPr>
          <w:rFonts w:hint="eastAsia" w:ascii="宋体" w:hAnsi="宋体" w:cs="宋体"/>
          <w:color w:val="auto"/>
          <w:sz w:val="24"/>
          <w:highlight w:val="none"/>
        </w:rPr>
        <w:t>%计取</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由中标人在领取中标通知书时一次性支付给招标代理机构。（户名：</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；账号：1202003209900014176；开户银行：中国工商银行杭州潮王路支行）,财务联系电话：0571-88271625。</w:t>
      </w:r>
    </w:p>
    <w:tbl>
      <w:tblPr>
        <w:tblStyle w:val="26"/>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ind w:firstLine="482" w:firstLineChars="200"/>
        <w:outlineLvl w:val="1"/>
        <w:rPr>
          <w:rFonts w:ascii="宋体" w:hAnsi="宋体" w:cs="宋体"/>
          <w:b/>
          <w:bCs/>
          <w:color w:val="auto"/>
          <w:sz w:val="24"/>
          <w:szCs w:val="32"/>
          <w:highlight w:val="none"/>
        </w:rPr>
      </w:pPr>
      <w:bookmarkStart w:id="33" w:name="_Toc20450"/>
      <w:r>
        <w:rPr>
          <w:rFonts w:hint="eastAsia" w:ascii="宋体" w:hAnsi="宋体" w:cs="宋体"/>
          <w:b/>
          <w:bCs/>
          <w:color w:val="auto"/>
          <w:sz w:val="24"/>
          <w:szCs w:val="32"/>
          <w:highlight w:val="none"/>
        </w:rPr>
        <w:t>七、合同签订及公告</w:t>
      </w:r>
      <w:bookmarkEnd w:id="33"/>
    </w:p>
    <w:p>
      <w:pPr>
        <w:spacing w:line="360" w:lineRule="auto"/>
        <w:ind w:firstLine="482" w:firstLineChars="200"/>
        <w:outlineLvl w:val="2"/>
        <w:rPr>
          <w:rFonts w:ascii="宋体" w:hAnsi="宋体" w:cs="宋体"/>
          <w:b/>
          <w:bCs/>
          <w:color w:val="auto"/>
          <w:sz w:val="24"/>
          <w:szCs w:val="32"/>
          <w:highlight w:val="none"/>
        </w:rPr>
      </w:pPr>
      <w:bookmarkStart w:id="34" w:name="_Toc350"/>
      <w:r>
        <w:rPr>
          <w:rFonts w:hint="eastAsia" w:ascii="宋体" w:hAnsi="宋体" w:cs="宋体"/>
          <w:b/>
          <w:bCs/>
          <w:color w:val="auto"/>
          <w:sz w:val="24"/>
          <w:szCs w:val="32"/>
          <w:highlight w:val="none"/>
        </w:rPr>
        <w:t>（一）签订合同</w:t>
      </w:r>
      <w:bookmarkEnd w:id="3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1、采购人应当自中标通知书发出之日起10个工作日内，按照招标文件和中标人投标文件的规定，与中标人签订书面合同。所签订的合同不得对招标文件确定的事项和中标人投标文件作实质性修改。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2、采购人不得向中标人提出任何不合理的要求作为签订合同的条件。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3、中标人无故拖延、拒签合同的,取消中标资格。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outlineLvl w:val="2"/>
        <w:rPr>
          <w:rFonts w:ascii="宋体" w:hAnsi="宋体" w:cs="宋体"/>
          <w:b/>
          <w:bCs/>
          <w:color w:val="auto"/>
          <w:sz w:val="24"/>
          <w:szCs w:val="32"/>
          <w:highlight w:val="none"/>
        </w:rPr>
      </w:pPr>
      <w:bookmarkStart w:id="35" w:name="_Toc11039"/>
      <w:r>
        <w:rPr>
          <w:rFonts w:hint="eastAsia" w:ascii="宋体" w:hAnsi="宋体" w:cs="宋体"/>
          <w:b/>
          <w:bCs/>
          <w:color w:val="auto"/>
          <w:sz w:val="24"/>
          <w:szCs w:val="32"/>
          <w:highlight w:val="none"/>
        </w:rPr>
        <w:t>（二）合同公告及备案</w:t>
      </w:r>
      <w:bookmarkEnd w:id="3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2、采购人应当自政府采购合同签订之日起7个工作日内，将政府采购合同副本报同级人民政府财政部门备案以及采购组织机构存档。</w:t>
      </w: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jc w:val="center"/>
        <w:outlineLvl w:val="0"/>
        <w:rPr>
          <w:rFonts w:hint="eastAsia" w:ascii="宋体" w:hAnsi="宋体" w:cs="宋体"/>
          <w:b/>
          <w:bCs/>
          <w:color w:val="auto"/>
          <w:sz w:val="36"/>
          <w:szCs w:val="44"/>
          <w:highlight w:val="none"/>
        </w:rPr>
      </w:pPr>
      <w:bookmarkStart w:id="36" w:name="_Toc20587"/>
      <w:bookmarkStart w:id="37" w:name="_Toc14362"/>
    </w:p>
    <w:p>
      <w:pPr>
        <w:spacing w:line="360" w:lineRule="auto"/>
        <w:jc w:val="center"/>
        <w:outlineLvl w:val="0"/>
        <w:rPr>
          <w:rFonts w:hint="eastAsia" w:ascii="宋体" w:hAnsi="宋体" w:cs="宋体"/>
          <w:b/>
          <w:bCs/>
          <w:color w:val="auto"/>
          <w:sz w:val="36"/>
          <w:szCs w:val="44"/>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jc w:val="center"/>
        <w:outlineLvl w:val="0"/>
        <w:rPr>
          <w:rFonts w:ascii="宋体" w:hAnsi="宋体" w:cs="宋体"/>
          <w:b/>
          <w:bCs/>
          <w:color w:val="auto"/>
          <w:sz w:val="36"/>
          <w:szCs w:val="44"/>
          <w:highlight w:val="none"/>
        </w:rPr>
      </w:pPr>
      <w:r>
        <w:rPr>
          <w:rFonts w:hint="eastAsia" w:ascii="宋体" w:hAnsi="宋体" w:cs="宋体"/>
          <w:b/>
          <w:bCs/>
          <w:color w:val="auto"/>
          <w:sz w:val="36"/>
          <w:szCs w:val="44"/>
          <w:highlight w:val="none"/>
        </w:rPr>
        <w:t>第三章 评标办法及评分标准</w:t>
      </w:r>
      <w:bookmarkEnd w:id="36"/>
      <w:bookmarkEnd w:id="37"/>
    </w:p>
    <w:p>
      <w:pPr>
        <w:autoSpaceDE w:val="0"/>
        <w:autoSpaceDN w:val="0"/>
        <w:spacing w:line="360" w:lineRule="auto"/>
        <w:ind w:firstLine="480" w:firstLineChars="200"/>
        <w:rPr>
          <w:rFonts w:ascii="宋体" w:hAnsi="宋体" w:cs="宋体"/>
          <w:b/>
          <w:i/>
          <w:color w:val="auto"/>
          <w:kern w:val="0"/>
          <w:sz w:val="24"/>
          <w:highlight w:val="none"/>
        </w:rPr>
      </w:pPr>
      <w:r>
        <w:rPr>
          <w:rFonts w:hint="eastAsia" w:ascii="宋体" w:hAnsi="宋体" w:cs="宋体"/>
          <w:color w:val="auto"/>
          <w:kern w:val="0"/>
          <w:sz w:val="24"/>
          <w:highlight w:val="none"/>
        </w:rPr>
        <w:t>一、采购组织机构将组织评标委员会，对投标人提供的投标文件进行综合评审。</w:t>
      </w:r>
    </w:p>
    <w:p>
      <w:pP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二、本次招标项目的评标方法为综合评分法，总计100分，其中资格及</w:t>
      </w:r>
      <w:r>
        <w:rPr>
          <w:rFonts w:hint="eastAsia" w:ascii="宋体" w:hAnsi="宋体" w:cs="宋体"/>
          <w:bCs/>
          <w:color w:val="auto"/>
          <w:sz w:val="24"/>
          <w:highlight w:val="none"/>
          <w:lang w:val="zh-CN"/>
        </w:rPr>
        <w:t>商务技术文件分值</w:t>
      </w:r>
      <w:r>
        <w:rPr>
          <w:rFonts w:hint="eastAsia" w:ascii="宋体" w:hAnsi="宋体" w:cs="宋体"/>
          <w:bCs/>
          <w:color w:val="auto"/>
          <w:sz w:val="24"/>
          <w:highlight w:val="none"/>
        </w:rPr>
        <w:t>70</w:t>
      </w:r>
      <w:r>
        <w:rPr>
          <w:rFonts w:hint="eastAsia" w:ascii="宋体" w:hAnsi="宋体" w:cs="宋体"/>
          <w:bCs/>
          <w:color w:val="auto"/>
          <w:sz w:val="24"/>
          <w:highlight w:val="none"/>
          <w:lang w:val="zh-CN"/>
        </w:rPr>
        <w:t>分，投标报价分值</w:t>
      </w:r>
      <w:r>
        <w:rPr>
          <w:rFonts w:hint="eastAsia" w:ascii="宋体" w:hAnsi="宋体" w:cs="宋体"/>
          <w:bCs/>
          <w:color w:val="auto"/>
          <w:sz w:val="24"/>
          <w:highlight w:val="none"/>
        </w:rPr>
        <w:t>30</w:t>
      </w:r>
      <w:r>
        <w:rPr>
          <w:rFonts w:hint="eastAsia" w:ascii="宋体" w:hAnsi="宋体" w:cs="宋体"/>
          <w:bCs/>
          <w:color w:val="auto"/>
          <w:sz w:val="24"/>
          <w:highlight w:val="none"/>
          <w:lang w:val="zh-CN"/>
        </w:rPr>
        <w:t>分</w:t>
      </w:r>
      <w:r>
        <w:rPr>
          <w:rFonts w:hint="eastAsia" w:ascii="宋体" w:hAnsi="宋体" w:cs="宋体"/>
          <w:color w:val="auto"/>
          <w:sz w:val="24"/>
          <w:highlight w:val="none"/>
        </w:rPr>
        <w:t>。评标标准按评分细化条款及分值进行评审。</w:t>
      </w:r>
    </w:p>
    <w:p>
      <w:pPr>
        <w:autoSpaceDE w:val="0"/>
        <w:autoSpaceDN w:val="0"/>
        <w:adjustRightInd w:val="0"/>
        <w:spacing w:line="360" w:lineRule="auto"/>
        <w:ind w:firstLine="472"/>
        <w:rPr>
          <w:rFonts w:ascii="宋体" w:hAnsi="宋体" w:cs="宋体"/>
          <w:bCs/>
          <w:color w:val="auto"/>
          <w:sz w:val="24"/>
          <w:highlight w:val="none"/>
          <w:lang w:val="zh-CN"/>
        </w:rPr>
      </w:pPr>
      <w:r>
        <w:rPr>
          <w:rFonts w:hint="eastAsia" w:ascii="宋体" w:hAnsi="宋体" w:cs="宋体"/>
          <w:bCs/>
          <w:color w:val="auto"/>
          <w:sz w:val="24"/>
          <w:highlight w:val="none"/>
          <w:lang w:val="zh-CN"/>
        </w:rPr>
        <w:t>（一）</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商务技术文件中的客观分由评标委员会讨论后统一打分；其余在规定的分值内单独评定打分</w:t>
      </w:r>
      <w:r>
        <w:rPr>
          <w:rFonts w:hint="eastAsia" w:ascii="宋体" w:hAnsi="宋体" w:cs="宋体"/>
          <w:color w:val="auto"/>
          <w:sz w:val="24"/>
          <w:highlight w:val="none"/>
        </w:rPr>
        <w:t>（小数点后保留1位）</w:t>
      </w:r>
      <w:r>
        <w:rPr>
          <w:rFonts w:hint="eastAsia" w:ascii="宋体" w:hAnsi="宋体" w:cs="宋体"/>
          <w:bCs/>
          <w:color w:val="auto"/>
          <w:sz w:val="24"/>
          <w:highlight w:val="none"/>
          <w:lang w:val="zh-CN"/>
        </w:rPr>
        <w:t>。</w:t>
      </w:r>
    </w:p>
    <w:p>
      <w:pP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bCs/>
          <w:color w:val="auto"/>
          <w:sz w:val="24"/>
          <w:highlight w:val="none"/>
          <w:lang w:val="zh-CN"/>
        </w:rPr>
        <w:t>（二）各投标人</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lang w:val="zh-CN"/>
        </w:rPr>
        <w:t>得分按照评标委员会成</w:t>
      </w:r>
      <w:r>
        <w:rPr>
          <w:rFonts w:hint="eastAsia" w:ascii="宋体" w:hAnsi="宋体" w:cs="宋体"/>
          <w:bCs/>
          <w:color w:val="auto"/>
          <w:sz w:val="24"/>
          <w:highlight w:val="none"/>
          <w:lang w:val="zh-CN"/>
        </w:rPr>
        <w:t>员的独立评分结果汇总后的算术平均分计算</w:t>
      </w:r>
      <w:r>
        <w:rPr>
          <w:rFonts w:hint="eastAsia" w:ascii="宋体" w:hAnsi="宋体" w:cs="宋体"/>
          <w:color w:val="auto"/>
          <w:sz w:val="24"/>
          <w:highlight w:val="none"/>
        </w:rPr>
        <w:t>（小数点后保留2位）</w:t>
      </w:r>
      <w:r>
        <w:rPr>
          <w:rFonts w:hint="eastAsia" w:ascii="宋体" w:hAnsi="宋体" w:cs="宋体"/>
          <w:bCs/>
          <w:color w:val="auto"/>
          <w:sz w:val="24"/>
          <w:highlight w:val="none"/>
          <w:lang w:val="zh-CN"/>
        </w:rPr>
        <w:t>，计算公式为：</w:t>
      </w:r>
    </w:p>
    <w:p>
      <w:pP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w:t>
      </w:r>
      <w:r>
        <w:rPr>
          <w:rFonts w:hint="eastAsia" w:ascii="宋体" w:hAnsi="宋体" w:cs="宋体"/>
          <w:bCs/>
          <w:color w:val="auto"/>
          <w:sz w:val="24"/>
          <w:highlight w:val="none"/>
          <w:lang w:val="zh-CN"/>
        </w:rPr>
        <w:t>=评标委员会所有成员评分合计数/评标委员会组成人员数。</w:t>
      </w:r>
    </w:p>
    <w:p>
      <w:pP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bCs/>
          <w:color w:val="auto"/>
          <w:sz w:val="24"/>
          <w:highlight w:val="none"/>
          <w:lang w:val="zh-CN"/>
        </w:rPr>
        <w:t>（三）</w:t>
      </w:r>
      <w:r>
        <w:rPr>
          <w:rFonts w:hint="eastAsia" w:ascii="宋体" w:hAnsi="宋体" w:cs="宋体"/>
          <w:color w:val="auto"/>
          <w:sz w:val="24"/>
          <w:highlight w:val="none"/>
          <w:lang w:val="zh-CN"/>
        </w:rPr>
        <w:t>投标报价得分采用低价优先法计算</w:t>
      </w:r>
      <w:r>
        <w:rPr>
          <w:rFonts w:hint="eastAsia" w:ascii="宋体" w:hAnsi="宋体" w:cs="宋体"/>
          <w:color w:val="auto"/>
          <w:sz w:val="24"/>
          <w:highlight w:val="none"/>
        </w:rPr>
        <w:t>（小数点后保留2位）</w:t>
      </w:r>
      <w:r>
        <w:rPr>
          <w:rFonts w:hint="eastAsia" w:ascii="宋体" w:hAnsi="宋体" w:cs="宋体"/>
          <w:color w:val="auto"/>
          <w:sz w:val="24"/>
          <w:highlight w:val="none"/>
          <w:lang w:val="zh-CN"/>
        </w:rPr>
        <w:t>，即满足招标文件要求且投标价格最低的投标报价为评标基准价，其报价得满分。其他投标人的投标报价得分按下列公式计算：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投标报价得分=(评标基准价／投标报价)×30%×100 。</w:t>
      </w:r>
    </w:p>
    <w:p>
      <w:pP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（四）投标人综合得分＝资格及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得分＋投标报价得分。</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（五）政府采购政策及优惠：</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10%的扣除，用扣除后的价格参加评审。</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6%的扣除，用扣除后的价格参加评审。</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投标文件中须同时出具《政府采购促进中小企业发展管理办法》【财库（2020）46号】规定的《中小企业声明函》，否则不得享受价格扣除。</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本项目对符合规定的小微企业（含小型企业）报价给予10%的扣除。</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（2）根据《关于政府采购支持监狱企业发展有关问题的通知》（财库[2014]68号）的规定，供应商如为监狱企业且所投产品为小型或微型企业生产的，其投标报价扣除10%后参与评审。</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投标文件中须同时提供：供应商的省级以上监狱管理局、戒毒管理局（含新疆生产建设兵团）出具的属于监狱企业的证明文件，未提供完整证明材料的，投标报价不予扣减。</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享受政府采购支持政策的残疾人福利性单位应当同时满足以下条件：</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①安置的残疾人占本单位在职职工人数的比例不低于25%（含25%），并且安置的残疾人人数不少于10人（含10人）；</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②依法与安置的每位残疾人签订了一年以上（含一年）的劳动合同或服务协议；</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③为安置的每位残疾人按月足额缴纳了基本养老保险、基本医疗保险、失业保险、工伤保险和生育保险等社会保险费；</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④通过银行等金融机构向安置的每位残疾人，按月支付了不低于单位所在区县适用的经省级人民政府批准的月最低工资标准的工资；</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⑤提供本单位制造的货物、承担的工程或者服务（以下简称产品），或者提供其他残疾人福利性单位制造的货物（不包括使用非残疾人福利性单位注册商标的货物）。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注：得分以系统计算为准，保留2位小数。</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四、如综合得分相同，投标报价低者为先；如综合得分且投标报价相同的，货物类采购项目以技术得分较高者为先，服务类采购项目以商务得分较高者为先。</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六、本次评分具体分值细化条款如下表： </w:t>
      </w:r>
    </w:p>
    <w:p>
      <w:pPr>
        <w:rPr>
          <w:rFonts w:hint="eastAsia" w:ascii="宋体" w:hAnsi="宋体"/>
          <w:b/>
          <w:color w:val="auto"/>
          <w:spacing w:val="-6"/>
          <w:sz w:val="21"/>
          <w:szCs w:val="21"/>
          <w:highlight w:val="none"/>
        </w:rPr>
      </w:pPr>
      <w:bookmarkStart w:id="38" w:name="_Toc5439"/>
      <w:bookmarkStart w:id="39" w:name="_Toc8522"/>
      <w:r>
        <w:rPr>
          <w:rFonts w:hint="eastAsia" w:ascii="宋体" w:hAnsi="宋体"/>
          <w:b/>
          <w:color w:val="auto"/>
          <w:spacing w:val="-6"/>
          <w:sz w:val="21"/>
          <w:szCs w:val="21"/>
          <w:highlight w:val="none"/>
        </w:rPr>
        <w:br w:type="page"/>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683"/>
        <w:gridCol w:w="704"/>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3" w:type="pct"/>
            <w:vAlign w:val="center"/>
          </w:tcPr>
          <w:p>
            <w:pPr>
              <w:shd w:val="clear"/>
              <w:jc w:val="both"/>
              <w:rPr>
                <w:rFonts w:hint="eastAsia" w:asciiTheme="minorEastAsia" w:hAnsiTheme="minorEastAsia" w:eastAsiaTheme="minorEastAsia" w:cstheme="minorEastAsia"/>
                <w:b/>
                <w:color w:val="000000" w:themeColor="text1"/>
                <w:spacing w:val="-6"/>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序号</w:t>
            </w:r>
          </w:p>
        </w:tc>
        <w:tc>
          <w:tcPr>
            <w:tcW w:w="988" w:type="pct"/>
            <w:vAlign w:val="center"/>
          </w:tcPr>
          <w:p>
            <w:pPr>
              <w:shd w:val="clear"/>
              <w:jc w:val="both"/>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br w:type="page"/>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评审因素</w:t>
            </w:r>
          </w:p>
        </w:tc>
        <w:tc>
          <w:tcPr>
            <w:tcW w:w="413" w:type="pct"/>
            <w:vAlign w:val="center"/>
          </w:tcPr>
          <w:p>
            <w:pPr>
              <w:shd w:val="clear"/>
              <w:jc w:val="both"/>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分值</w:t>
            </w:r>
          </w:p>
        </w:tc>
        <w:tc>
          <w:tcPr>
            <w:tcW w:w="3164" w:type="pct"/>
            <w:vAlign w:val="center"/>
          </w:tcPr>
          <w:p>
            <w:pPr>
              <w:shd w:val="clear"/>
              <w:jc w:val="both"/>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5000" w:type="pct"/>
            <w:gridSpan w:val="4"/>
            <w:vAlign w:val="center"/>
          </w:tcPr>
          <w:p>
            <w:pPr>
              <w:shd w:val="clear"/>
              <w:adjustRightInd w:val="0"/>
              <w:snapToGrid w:val="0"/>
              <w:spacing w:line="360" w:lineRule="auto"/>
              <w:jc w:val="left"/>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资格及商务技术分（70分）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vAlign w:val="center"/>
          </w:tcPr>
          <w:p>
            <w:pPr>
              <w:pStyle w:val="9"/>
              <w:shd w:val="clear"/>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p>
        </w:tc>
        <w:tc>
          <w:tcPr>
            <w:tcW w:w="988" w:type="pct"/>
            <w:vAlign w:val="center"/>
          </w:tcPr>
          <w:p>
            <w:pPr>
              <w:pStyle w:val="9"/>
              <w:shd w:val="clear"/>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企业资信</w:t>
            </w:r>
          </w:p>
        </w:tc>
        <w:tc>
          <w:tcPr>
            <w:tcW w:w="413" w:type="pct"/>
            <w:vAlign w:val="center"/>
          </w:tcPr>
          <w:p>
            <w:pPr>
              <w:shd w:val="clear"/>
              <w:spacing w:line="360" w:lineRule="auto"/>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p>
        </w:tc>
        <w:tc>
          <w:tcPr>
            <w:tcW w:w="3164" w:type="pct"/>
          </w:tcPr>
          <w:p>
            <w:pPr>
              <w:shd w:val="clea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highlight w:val="none"/>
              </w:rPr>
              <w:t>1.投标人市场信誉，根据投标人提供自2020年以来获得过宣传、教育、出版部门颁发的荣誉证书，提供一份得1分，最高得3分；（</w:t>
            </w:r>
            <w:r>
              <w:rPr>
                <w:rFonts w:hint="eastAsia" w:asciiTheme="minorEastAsia" w:hAnsiTheme="minorEastAsia" w:eastAsiaTheme="minorEastAsia" w:cstheme="minorEastAsia"/>
                <w:sz w:val="24"/>
                <w:highlight w:val="none"/>
                <w:lang w:val="en-US" w:eastAsia="zh-CN"/>
              </w:rPr>
              <w:t>需提供相关证书扫描件</w:t>
            </w:r>
            <w:r>
              <w:rPr>
                <w:rFonts w:hint="eastAsia" w:asciiTheme="minorEastAsia" w:hAnsiTheme="minorEastAsia" w:eastAsiaTheme="minorEastAsia" w:cstheme="minorEastAsia"/>
                <w:sz w:val="24"/>
                <w:highlight w:val="none"/>
              </w:rPr>
              <w:t>）</w:t>
            </w:r>
          </w:p>
          <w:p>
            <w:pPr>
              <w:shd w:val="clear"/>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2.投标人具有有效的质量管理体系认证、环境管理体系认证、职业健康安全管理体系认证证书的，每提供</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份得1分，最高得3分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上述投标文件中提供证明材料并加盖投标人公章，未提供资质证书或证明材料的、超出有效期的证书均不计分。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vAlign w:val="center"/>
          </w:tcPr>
          <w:p>
            <w:pPr>
              <w:shd w:val="clear"/>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988" w:type="pct"/>
            <w:vAlign w:val="center"/>
          </w:tcPr>
          <w:p>
            <w:pPr>
              <w:shd w:val="clear"/>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项目经验</w:t>
            </w:r>
          </w:p>
        </w:tc>
        <w:tc>
          <w:tcPr>
            <w:tcW w:w="413" w:type="pct"/>
            <w:vAlign w:val="center"/>
          </w:tcPr>
          <w:p>
            <w:pPr>
              <w:shd w:val="clear"/>
              <w:spacing w:line="360" w:lineRule="auto"/>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p>
        </w:tc>
        <w:tc>
          <w:tcPr>
            <w:tcW w:w="3164" w:type="pct"/>
          </w:tcPr>
          <w:p>
            <w:pPr>
              <w:shd w:val="clear"/>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投标人提</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供</w:t>
            </w:r>
            <w:r>
              <w:rPr>
                <w:rFonts w:hint="eastAsia" w:asciiTheme="minorEastAsia" w:hAnsiTheme="minorEastAsia" w:eastAsiaTheme="minorEastAsia" w:cstheme="minorEastAsia"/>
                <w:color w:val="auto"/>
                <w:sz w:val="24"/>
                <w:szCs w:val="24"/>
                <w:highlight w:val="none"/>
              </w:rPr>
              <w:t>自202</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年1月1日以来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（以合同签订时间为准）</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高校图书馆纸质图书供货项目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业绩，每提供</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份得0.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分，最高得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提供</w:t>
            </w:r>
            <w:r>
              <w:rPr>
                <w:rFonts w:hint="eastAsia" w:asciiTheme="minorEastAsia" w:hAnsiTheme="minorEastAsia" w:eastAsiaTheme="minorEastAsia" w:cstheme="minorEastAsia"/>
                <w:color w:val="auto"/>
                <w:sz w:val="24"/>
                <w:szCs w:val="24"/>
                <w:highlight w:val="none"/>
              </w:rPr>
              <w:t>自202</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年1月1日以来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高校图书馆纸质图书供货项目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用户质量评价，须用户单位盖章，每提供</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份良好及以上的评价得0.3分，最高得3分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spacing w:line="360" w:lineRule="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上述投标文件中提供相关证明材料并加盖投标人公章，不提供不得分。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vAlign w:val="center"/>
          </w:tcPr>
          <w:p>
            <w:pPr>
              <w:shd w:val="clear"/>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988" w:type="pct"/>
            <w:vAlign w:val="center"/>
          </w:tcPr>
          <w:p>
            <w:pPr>
              <w:shd w:val="clear"/>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进货渠道</w:t>
            </w:r>
          </w:p>
        </w:tc>
        <w:tc>
          <w:tcPr>
            <w:tcW w:w="413" w:type="pct"/>
            <w:vAlign w:val="center"/>
          </w:tcPr>
          <w:p>
            <w:pPr>
              <w:shd w:val="clear"/>
              <w:spacing w:line="360" w:lineRule="auto"/>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w:t>
            </w:r>
          </w:p>
        </w:tc>
        <w:tc>
          <w:tcPr>
            <w:tcW w:w="3164" w:type="pct"/>
          </w:tcPr>
          <w:p>
            <w:pPr>
              <w:shd w:val="clea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投标人提供与指定重点保障出版社合作证明（需提供授权书或合同等材料），</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提供30家得3分，超过30家之后每增加5家加1分，最高得7分。</w:t>
            </w:r>
          </w:p>
          <w:p>
            <w:pPr>
              <w:shd w:val="clea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上述投标文件中提供相关证明材料并加盖投标人公章，不提供不得分。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3" w:type="pct"/>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988" w:type="pct"/>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活动组织</w:t>
            </w:r>
          </w:p>
        </w:tc>
        <w:tc>
          <w:tcPr>
            <w:tcW w:w="413" w:type="pct"/>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3164" w:type="pct"/>
            <w:vAlign w:val="center"/>
          </w:tcPr>
          <w:p>
            <w:pPr>
              <w:shd w:val="clea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承诺每年提供图书馆至少两名工作人员参加全国性大型书市现采，并承担工作人员外出费用及设备方面的便利，1次得1分，2次得2分，3次得3分</w:t>
            </w:r>
            <w:r>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最高得3分。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p>
        </w:tc>
        <w:tc>
          <w:tcPr>
            <w:tcW w:w="988" w:type="pct"/>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图书质量</w:t>
            </w:r>
          </w:p>
        </w:tc>
        <w:tc>
          <w:tcPr>
            <w:tcW w:w="413" w:type="pct"/>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3164" w:type="pct"/>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投标人承诺所提供图书</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正式出版物；无破损；附件齐全。每项各1分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最高得3分。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采访数据</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p>
        </w:tc>
        <w:tc>
          <w:tcPr>
            <w:tcW w:w="3164" w:type="pct"/>
            <w:tcBorders>
              <w:top w:val="single" w:color="auto" w:sz="4" w:space="0"/>
              <w:left w:val="single" w:color="auto" w:sz="4" w:space="0"/>
              <w:bottom w:val="single" w:color="auto" w:sz="4" w:space="0"/>
              <w:right w:val="single" w:color="auto" w:sz="4" w:space="0"/>
            </w:tcBorders>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1.投标人承诺提供符合Calis格式的CNMARC采访数据</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能无缝导入台州学院图书馆自动化集成管理系统UILAS (版本V2.2.1）平台，必备ISBN、题名、责任者、版本、丛书名、出版社、出版时间、中国分类号、内容提要、读者对象、定价等字段，得2分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.投标人承诺采访书目数据覆盖率达到</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出版社的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95%以上</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无不符合采购人的读者层次的数据的得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.投标人承诺提供常规采访书目数据为最近出版图书书目（出版信息一月内必须送达），书目数据每周提供1次以上，每次不少于1500条，得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采访书目数据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不含高职高专和青少读物</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出版时间精确到月份</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对于影印版之类的外文书在题名里注明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不夹杂特价书</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得1分。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7</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编目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数据</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投标人承诺编目数据的质量符合本馆要求；与到馆图书的匹配程度（不漏发、错发）；是否与到馆图书同时到达，</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每</w:t>
            </w:r>
            <w:r>
              <w:rPr>
                <w:rFonts w:hint="eastAsia" w:asciiTheme="minorEastAsia" w:hAnsiTheme="minorEastAsia" w:eastAsiaTheme="minorEastAsia" w:cstheme="minorEastAsia"/>
                <w:color w:val="000000" w:themeColor="text1"/>
                <w:sz w:val="24"/>
                <w:szCs w:val="24"/>
                <w:highlight w:val="none"/>
                <w:lang w:val="zh-TW" w:eastAsia="zh-TW"/>
                <w14:textFill>
                  <w14:solidFill>
                    <w14:schemeClr w14:val="tx1"/>
                  </w14:solidFill>
                </w14:textFill>
              </w:rPr>
              <w:t>满足一项得</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zh-TW" w:eastAsia="zh-TW"/>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提供《国图联编中心签约的数据下载协议书》、《calis联机编目服务协议书》扫描件或复印件并加盖公章），未提供协议的不得分。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到书率</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w:t>
            </w:r>
          </w:p>
        </w:tc>
        <w:tc>
          <w:tcPr>
            <w:tcW w:w="3164" w:type="pct"/>
            <w:tcBorders>
              <w:top w:val="single" w:color="auto" w:sz="4" w:space="0"/>
              <w:left w:val="single" w:color="auto" w:sz="4" w:space="0"/>
              <w:bottom w:val="single" w:color="auto" w:sz="4" w:space="0"/>
              <w:right w:val="single" w:color="auto" w:sz="4" w:space="0"/>
            </w:tcBorders>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1.投标人承诺现采图书1个月内到馆率不得低于98%，得2分，投标文件中提供承诺函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2.投标人承诺预订图书一个月到书率不低于80%，3个月到书率不低于90%，全年到书率不低于95%，得1分，投标文件中提供承诺函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特需图书书目服务</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投标人对图书馆自备书书目、自定较窄主题书目及急需图书书目的</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采购能力和快速响应能力。</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1、采购能力强、响应速度快的得4分；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2、采购能力较强、响应速度较快的得2分；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3、采购能力、响应速度一般的得1分。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订单调整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与退书处理</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3164" w:type="pct"/>
            <w:tcBorders>
              <w:top w:val="single" w:color="auto" w:sz="4" w:space="0"/>
              <w:left w:val="single" w:color="auto" w:sz="4" w:space="0"/>
              <w:bottom w:val="single" w:color="auto" w:sz="4" w:space="0"/>
              <w:right w:val="single" w:color="auto" w:sz="4" w:space="0"/>
            </w:tcBorders>
            <w:vAlign w:val="center"/>
          </w:tcPr>
          <w:p>
            <w:pPr>
              <w:numPr>
                <w:ilvl w:val="0"/>
                <w:numId w:val="0"/>
              </w:num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投标人对已订图书订单因情况变化，采购人要求减少或取消订单的反应能力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对订单变化的处理方案灵活、可执行性高的得2分；对订单变化的处理方案灵活性一般且可执行的得1分；无相关应对方案的得0分。</w:t>
            </w:r>
          </w:p>
          <w:p>
            <w:pPr>
              <w:numPr>
                <w:ilvl w:val="0"/>
                <w:numId w:val="0"/>
              </w:num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投标人对图书质量问题、与馆藏要求不符、与预订不符等原因退书提供的处理方案及处理速度</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方案详实、</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内容完整、操作性强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的得2分；方案合理、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内容常规、操作性一般</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的得1分；无相关应对方案的得0分。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对未能采购图书订单的处理方案</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2</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投标人对采购人已预订，但因到货、出版推迟等不能及时到馆的图书，或取消出版的图书信息反馈能力、服务能力、服务态度等。</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1、方案详实、</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内容完整、操作性强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的得2分；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2、方案合理、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内容常规、操作性一般</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的得1分；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3、方案粗糙、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内容缺漏、操作性差</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图书运输</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与加工</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3164" w:type="pct"/>
            <w:tcBorders>
              <w:top w:val="single" w:color="auto" w:sz="4" w:space="0"/>
              <w:left w:val="single" w:color="auto" w:sz="4" w:space="0"/>
              <w:bottom w:val="single" w:color="auto" w:sz="4" w:space="0"/>
              <w:right w:val="single" w:color="auto" w:sz="4" w:space="0"/>
            </w:tcBorders>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1.投标人承诺图书打包包装作防水防潮处理，打包整齐，大小适中，不能扭曲变形，得1分，投标文件中提供承诺函，未提供不得分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2.投标人承诺同种图书的复本在同一包内，同包里的图书按发货清单顺序摆放，每包之间摆放整齐得1分，投标文件中提供承诺函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.投标人承诺根据采购人要求，及时、定期向采购人送货到指定</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地点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签收，同时提供发货清单（包括电子清单）得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分，投标文件中提供承诺函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并加盖投标人公章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，未提供不得分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.投标人承诺图书的物理加工符合采购人要求，得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分，投标文件中提供承诺函，未提供不得分。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人员配备</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根据投标人拟投入本项目服务人员（包括到馆加工服务人员），专职客服等是否充足，保证项目实施、便利</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0"/>
                <w:numId w:val="2"/>
              </w:num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服务团队人员充足、结构合理、经验丰富，完全满足项目采购需要的，得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分；</w:t>
            </w:r>
          </w:p>
          <w:p>
            <w:pPr>
              <w:numPr>
                <w:ilvl w:val="0"/>
                <w:numId w:val="2"/>
              </w:num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人员比较合理、有类似工作经验，基本满足项目需要的，得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分；</w:t>
            </w:r>
          </w:p>
          <w:p>
            <w:pPr>
              <w:numPr>
                <w:ilvl w:val="0"/>
                <w:numId w:val="2"/>
              </w:num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人员配置简单，缺乏类似工作经验的，不能完全满足项目需要的得1分；无相关描述的不得分。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所有拟投入人员必须为投标人正式职工，须提供开标前连续三个月的由社保机构出具的社保缴纳证明等证明材料，不提供不得分。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14</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信息化水平</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1.投标人提供的网站实用性、便捷性强及服务多样性,得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2.投标人提供的网站实用性、便捷性一般，服务单一的，得1分。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p>
        </w:tc>
        <w:tc>
          <w:tcPr>
            <w:tcW w:w="988"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本地化服务</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具有较强的本地化服务能力，提供相应的证明材料。</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本地化服务能力强、服务经验丰富的得3分；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本地化服务能力一般、服务经验尚可的得1分；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本地化服务能力弱、服务经验少的得0分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3" w:type="pct"/>
            <w:tcBorders>
              <w:top w:val="single" w:color="auto" w:sz="4" w:space="0"/>
              <w:left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p>
        </w:tc>
        <w:tc>
          <w:tcPr>
            <w:tcW w:w="988" w:type="pct"/>
            <w:tcBorders>
              <w:top w:val="single" w:color="auto" w:sz="4" w:space="0"/>
              <w:left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特色服务</w:t>
            </w:r>
          </w:p>
        </w:tc>
        <w:tc>
          <w:tcPr>
            <w:tcW w:w="413"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jc w:val="cente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p>
        </w:tc>
        <w:tc>
          <w:tcPr>
            <w:tcW w:w="3164" w:type="pct"/>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为采购人的馆藏建设提供其它特色服务，如阅读推广活动、线上荐购服务、额外分编全加工其他图书1000册以上等，专家进行打分，最高得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分(提供承诺和服务案例材料)。</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特色服务</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可行性强、数量多的得6-8分；</w:t>
            </w:r>
          </w:p>
          <w:p>
            <w:pPr>
              <w:shd w:val="clea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特色服务</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可行性较强、数量较多的得3-5.9分；</w:t>
            </w:r>
          </w:p>
          <w:p>
            <w:pPr>
              <w:shd w:val="clear"/>
              <w:adjustRightInd w:val="0"/>
              <w:snapToGrid w:val="0"/>
              <w:spacing w:line="360" w:lineRule="auto"/>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特色服务</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可行性较差、数量少的得0-2.9分。</w:t>
            </w:r>
          </w:p>
        </w:tc>
      </w:tr>
    </w:tbl>
    <w:p>
      <w:pPr>
        <w:spacing w:line="360" w:lineRule="auto"/>
        <w:jc w:val="center"/>
        <w:outlineLvl w:val="0"/>
        <w:rPr>
          <w:rFonts w:ascii="宋体" w:hAnsi="宋体" w:cs="宋体"/>
          <w:b/>
          <w:bCs/>
          <w:color w:val="auto"/>
          <w:sz w:val="36"/>
          <w:szCs w:val="36"/>
          <w:highlight w:val="none"/>
        </w:rPr>
      </w:pPr>
      <w:r>
        <w:rPr>
          <w:rFonts w:hint="eastAsia" w:ascii="宋体" w:hAnsi="宋体" w:cs="宋体"/>
          <w:b/>
          <w:bCs/>
          <w:color w:val="000000" w:themeColor="text1"/>
          <w:sz w:val="36"/>
          <w:szCs w:val="44"/>
          <w:highlight w:val="none"/>
          <w14:textFill>
            <w14:solidFill>
              <w14:schemeClr w14:val="tx1"/>
            </w14:solidFill>
          </w14:textFill>
        </w:rPr>
        <w:br w:type="page"/>
      </w:r>
      <w:r>
        <w:rPr>
          <w:rFonts w:hint="eastAsia" w:ascii="宋体" w:hAnsi="宋体" w:cs="宋体"/>
          <w:b/>
          <w:bCs/>
          <w:color w:val="auto"/>
          <w:sz w:val="36"/>
          <w:szCs w:val="36"/>
          <w:highlight w:val="none"/>
        </w:rPr>
        <w:t>第四章 公开招标需求</w:t>
      </w:r>
      <w:bookmarkEnd w:id="38"/>
      <w:bookmarkEnd w:id="39"/>
      <w:bookmarkStart w:id="40" w:name="_Toc14683560"/>
      <w:bookmarkStart w:id="41" w:name="_Toc518311552"/>
      <w:bookmarkStart w:id="42" w:name="_Toc525627245"/>
      <w:bookmarkStart w:id="43" w:name="_Toc23651"/>
      <w:bookmarkStart w:id="44" w:name="_Toc518381563"/>
      <w:bookmarkStart w:id="45" w:name="_Toc202235414"/>
    </w:p>
    <w:bookmarkEnd w:id="40"/>
    <w:bookmarkEnd w:id="41"/>
    <w:bookmarkEnd w:id="42"/>
    <w:bookmarkEnd w:id="43"/>
    <w:bookmarkEnd w:id="44"/>
    <w:bookmarkEnd w:id="45"/>
    <w:p>
      <w:pPr>
        <w:shd w:val="clear"/>
        <w:spacing w:line="360" w:lineRule="auto"/>
        <w:contextualSpacing/>
        <w:rPr>
          <w:rFonts w:hint="eastAsia" w:ascii="宋体" w:hAnsi="宋体" w:eastAsia="宋体" w:cs="宋体"/>
          <w:b/>
          <w:color w:val="000000" w:themeColor="text1"/>
          <w:sz w:val="24"/>
          <w:szCs w:val="24"/>
          <w:highlight w:val="none"/>
          <w14:textFill>
            <w14:solidFill>
              <w14:schemeClr w14:val="tx1"/>
            </w14:solidFill>
          </w14:textFill>
        </w:rPr>
      </w:pPr>
      <w:bookmarkStart w:id="46" w:name="_Toc18518"/>
      <w:bookmarkStart w:id="47" w:name="_Toc30967"/>
      <w:bookmarkStart w:id="48" w:name="_Toc2689"/>
      <w:bookmarkStart w:id="49" w:name="_Toc8958"/>
      <w:bookmarkStart w:id="50" w:name="_Toc18936"/>
      <w:r>
        <w:rPr>
          <w:rFonts w:hint="eastAsia" w:ascii="宋体" w:hAnsi="宋体" w:eastAsia="宋体" w:cs="宋体"/>
          <w:b/>
          <w:color w:val="000000" w:themeColor="text1"/>
          <w:sz w:val="24"/>
          <w:szCs w:val="24"/>
          <w:highlight w:val="none"/>
          <w14:textFill>
            <w14:solidFill>
              <w14:schemeClr w14:val="tx1"/>
            </w14:solidFill>
          </w14:textFill>
        </w:rPr>
        <w:t>一、项目基本情况</w:t>
      </w:r>
    </w:p>
    <w:p>
      <w:pPr>
        <w:shd w:val="clear"/>
        <w:adjustRightInd w:val="0"/>
        <w:spacing w:line="360" w:lineRule="auto"/>
        <w:ind w:left="420" w:leftChars="200"/>
        <w:contextualSpacing/>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采购需求：</w:t>
      </w:r>
    </w:p>
    <w:tbl>
      <w:tblPr>
        <w:tblStyle w:val="26"/>
        <w:tblpPr w:leftFromText="180" w:rightFromText="180" w:vertAnchor="text" w:horzAnchor="margin" w:tblpY="89"/>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788"/>
        <w:gridCol w:w="1325"/>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44" w:type="dxa"/>
            <w:vAlign w:val="center"/>
          </w:tcPr>
          <w:p>
            <w:pPr>
              <w:shd w:val="clear"/>
              <w:tabs>
                <w:tab w:val="left" w:pos="720"/>
              </w:tabs>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标项</w:t>
            </w:r>
          </w:p>
        </w:tc>
        <w:tc>
          <w:tcPr>
            <w:tcW w:w="2788" w:type="dxa"/>
            <w:vAlign w:val="center"/>
          </w:tcPr>
          <w:p>
            <w:pPr>
              <w:shd w:val="clear"/>
              <w:tabs>
                <w:tab w:val="left" w:pos="720"/>
              </w:tabs>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项目名称</w:t>
            </w:r>
          </w:p>
        </w:tc>
        <w:tc>
          <w:tcPr>
            <w:tcW w:w="1325" w:type="dxa"/>
            <w:vAlign w:val="center"/>
          </w:tcPr>
          <w:p>
            <w:pPr>
              <w:shd w:val="clear"/>
              <w:spacing w:line="360" w:lineRule="auto"/>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预算</w:t>
            </w:r>
            <w:r>
              <w:rPr>
                <w:rFonts w:hint="eastAsia" w:ascii="宋体" w:hAnsi="宋体" w:eastAsia="宋体" w:cs="宋体"/>
                <w:b/>
                <w:color w:val="000000" w:themeColor="text1"/>
                <w:sz w:val="24"/>
                <w:szCs w:val="24"/>
                <w:highlight w:val="none"/>
                <w:lang w:val="en-US" w:eastAsia="zh-CN"/>
                <w14:textFill>
                  <w14:solidFill>
                    <w14:schemeClr w14:val="tx1"/>
                  </w14:solidFill>
                </w14:textFill>
              </w:rPr>
              <w:t>金额</w:t>
            </w:r>
            <w:r>
              <w:rPr>
                <w:rFonts w:hint="eastAsia" w:ascii="宋体" w:hAnsi="宋体" w:eastAsia="宋体" w:cs="宋体"/>
                <w:b/>
                <w:color w:val="000000" w:themeColor="text1"/>
                <w:sz w:val="24"/>
                <w:szCs w:val="24"/>
                <w:highlight w:val="none"/>
                <w:lang w:val="en-US" w:eastAsia="zh-CN"/>
                <w14:textFill>
                  <w14:solidFill>
                    <w14:schemeClr w14:val="tx1"/>
                  </w14:solidFill>
                </w14:textFill>
              </w:rPr>
              <w:br w:type="textWrapping"/>
            </w:r>
            <w:r>
              <w:rPr>
                <w:rFonts w:hint="eastAsia" w:ascii="宋体" w:hAnsi="宋体" w:eastAsia="宋体" w:cs="宋体"/>
                <w:b/>
                <w:color w:val="000000" w:themeColor="text1"/>
                <w:sz w:val="24"/>
                <w:szCs w:val="24"/>
                <w:highlight w:val="none"/>
                <w:lang w:val="en-US" w:eastAsia="zh-CN"/>
                <w14:textFill>
                  <w14:solidFill>
                    <w14:schemeClr w14:val="tx1"/>
                  </w14:solidFill>
                </w14:textFill>
              </w:rPr>
              <w:t>（万元）</w:t>
            </w:r>
          </w:p>
        </w:tc>
        <w:tc>
          <w:tcPr>
            <w:tcW w:w="3403" w:type="dxa"/>
            <w:vAlign w:val="center"/>
          </w:tcPr>
          <w:p>
            <w:pPr>
              <w:shd w:val="clear"/>
              <w:spacing w:before="60" w:after="60" w:line="360" w:lineRule="auto"/>
              <w:ind w:right="60"/>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144"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一</w:t>
            </w:r>
          </w:p>
        </w:tc>
        <w:tc>
          <w:tcPr>
            <w:tcW w:w="2788"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台州学院图书馆202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年图书采购项目一</w:t>
            </w:r>
          </w:p>
        </w:tc>
        <w:tc>
          <w:tcPr>
            <w:tcW w:w="1325" w:type="dxa"/>
            <w:vAlign w:val="center"/>
          </w:tcPr>
          <w:p>
            <w:pPr>
              <w:shd w:val="clear"/>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55</w:t>
            </w:r>
          </w:p>
        </w:tc>
        <w:tc>
          <w:tcPr>
            <w:tcW w:w="3403" w:type="dxa"/>
            <w:vAlign w:val="center"/>
          </w:tcPr>
          <w:p>
            <w:pPr>
              <w:shd w:val="clea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人文社科类图书1及其他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atLeast"/>
        </w:trPr>
        <w:tc>
          <w:tcPr>
            <w:tcW w:w="1144"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二</w:t>
            </w:r>
          </w:p>
        </w:tc>
        <w:tc>
          <w:tcPr>
            <w:tcW w:w="2788"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台州学院图书馆20</w:t>
            </w:r>
            <w:r>
              <w:rPr>
                <w:rFonts w:hint="eastAsia" w:ascii="宋体" w:hAnsi="宋体" w:eastAsia="宋体" w:cs="宋体"/>
                <w:color w:val="000000" w:themeColor="text1"/>
                <w:sz w:val="24"/>
                <w:szCs w:val="24"/>
                <w:highlight w:val="non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14:textFill>
                  <w14:solidFill>
                    <w14:schemeClr w14:val="tx1"/>
                  </w14:solidFill>
                </w14:textFill>
              </w:rPr>
              <w:t>年图书采购项目二</w:t>
            </w:r>
          </w:p>
        </w:tc>
        <w:tc>
          <w:tcPr>
            <w:tcW w:w="1325" w:type="dxa"/>
            <w:vAlign w:val="center"/>
          </w:tcPr>
          <w:p>
            <w:pPr>
              <w:shd w:val="clear"/>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55</w:t>
            </w:r>
          </w:p>
        </w:tc>
        <w:tc>
          <w:tcPr>
            <w:tcW w:w="3403" w:type="dxa"/>
            <w:vAlign w:val="center"/>
          </w:tcPr>
          <w:p>
            <w:pPr>
              <w:shd w:val="clea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人文社科类图书2及其他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144"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三</w:t>
            </w:r>
          </w:p>
        </w:tc>
        <w:tc>
          <w:tcPr>
            <w:tcW w:w="2788"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台州学院图书馆202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年图书采购项目三</w:t>
            </w:r>
          </w:p>
        </w:tc>
        <w:tc>
          <w:tcPr>
            <w:tcW w:w="1325" w:type="dxa"/>
            <w:vAlign w:val="center"/>
          </w:tcPr>
          <w:p>
            <w:pPr>
              <w:shd w:val="clear"/>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45</w:t>
            </w:r>
          </w:p>
        </w:tc>
        <w:tc>
          <w:tcPr>
            <w:tcW w:w="3403" w:type="dxa"/>
            <w:vAlign w:val="center"/>
          </w:tcPr>
          <w:p>
            <w:pPr>
              <w:shd w:val="clea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自然科学类图书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通识类图书</w:t>
            </w:r>
            <w:r>
              <w:rPr>
                <w:rFonts w:hint="eastAsia" w:ascii="宋体" w:hAnsi="宋体" w:eastAsia="宋体" w:cs="宋体"/>
                <w:color w:val="000000" w:themeColor="text1"/>
                <w:sz w:val="24"/>
                <w:szCs w:val="24"/>
                <w:highlight w:val="none"/>
                <w14:textFill>
                  <w14:solidFill>
                    <w14:schemeClr w14:val="tx1"/>
                  </w14:solidFill>
                </w14:textFill>
              </w:rPr>
              <w:t>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1144"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四</w:t>
            </w:r>
          </w:p>
        </w:tc>
        <w:tc>
          <w:tcPr>
            <w:tcW w:w="2788" w:type="dxa"/>
            <w:vAlign w:val="center"/>
          </w:tcPr>
          <w:p>
            <w:pPr>
              <w:shd w:val="clear"/>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台州学院图书馆202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年图书采购项目四</w:t>
            </w:r>
          </w:p>
        </w:tc>
        <w:tc>
          <w:tcPr>
            <w:tcW w:w="1325" w:type="dxa"/>
            <w:vAlign w:val="center"/>
          </w:tcPr>
          <w:p>
            <w:pPr>
              <w:shd w:val="clear"/>
              <w:spacing w:line="360" w:lineRule="auto"/>
              <w:jc w:val="center"/>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45</w:t>
            </w:r>
          </w:p>
        </w:tc>
        <w:tc>
          <w:tcPr>
            <w:tcW w:w="3403" w:type="dxa"/>
            <w:vAlign w:val="center"/>
          </w:tcPr>
          <w:p>
            <w:pPr>
              <w:shd w:val="clea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自然科学类图书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综合类图书</w:t>
            </w:r>
            <w:r>
              <w:rPr>
                <w:rFonts w:hint="eastAsia" w:ascii="宋体" w:hAnsi="宋体" w:eastAsia="宋体" w:cs="宋体"/>
                <w:color w:val="000000" w:themeColor="text1"/>
                <w:sz w:val="24"/>
                <w:szCs w:val="24"/>
                <w:highlight w:val="none"/>
                <w14:textFill>
                  <w14:solidFill>
                    <w14:schemeClr w14:val="tx1"/>
                  </w14:solidFill>
                </w14:textFill>
              </w:rPr>
              <w:t>及其他</w:t>
            </w:r>
          </w:p>
        </w:tc>
      </w:tr>
    </w:tbl>
    <w:p>
      <w:pPr>
        <w:pStyle w:val="13"/>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、中标原则</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本项目共四个标项，按标项顺序进行评审，投标人可选择一个或多个标项投标。由于本项目除图书供应外，还需提供国内图书的出版信息、订单处理、图书配送及退换、图书分编加工等售后服务，整体工作量很大，为保证工作质量，故一个投标人最多只能中一个标项，</w:t>
      </w:r>
      <w:r>
        <w:rPr>
          <w:rFonts w:hint="eastAsia" w:ascii="宋体" w:hAnsi="宋体" w:eastAsia="宋体" w:cs="宋体"/>
          <w:bCs/>
          <w:color w:val="000000" w:themeColor="text1"/>
          <w:spacing w:val="-6"/>
          <w:sz w:val="24"/>
          <w:szCs w:val="24"/>
          <w:highlight w:val="none"/>
          <w14:textFill>
            <w14:solidFill>
              <w14:schemeClr w14:val="tx1"/>
            </w14:solidFill>
          </w14:textFill>
        </w:rPr>
        <w:t>预中标一个标项后，该预中标单位不再参与其余标项的评审</w:t>
      </w:r>
      <w:r>
        <w:rPr>
          <w:rFonts w:hint="eastAsia" w:ascii="宋体" w:hAnsi="宋体" w:eastAsia="宋体" w:cs="宋体"/>
          <w:bCs/>
          <w:color w:val="000000" w:themeColor="text1"/>
          <w:sz w:val="24"/>
          <w:szCs w:val="24"/>
          <w:highlight w:val="none"/>
          <w14:textFill>
            <w14:solidFill>
              <w14:schemeClr w14:val="tx1"/>
            </w14:solidFill>
          </w14:textFill>
        </w:rPr>
        <w:t>。</w:t>
      </w:r>
    </w:p>
    <w:p>
      <w:pPr>
        <w:shd w:val="clear"/>
        <w:tabs>
          <w:tab w:val="left" w:pos="720"/>
        </w:tabs>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、本项目采用折扣报价，最高折扣限制为7</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%，图书实洋=图书码洋*折扣系数，投标报价超出最高限价或最高折扣限制的均作无效标处理。</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、多卷册套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书</w:t>
      </w:r>
      <w:r>
        <w:rPr>
          <w:rFonts w:hint="eastAsia" w:ascii="宋体" w:hAnsi="宋体" w:eastAsia="宋体" w:cs="宋体"/>
          <w:color w:val="000000" w:themeColor="text1"/>
          <w:kern w:val="0"/>
          <w:sz w:val="24"/>
          <w:szCs w:val="24"/>
          <w:highlight w:val="none"/>
          <w14:textFill>
            <w14:solidFill>
              <w14:schemeClr w14:val="tx1"/>
            </w14:solidFill>
          </w14:textFill>
        </w:rPr>
        <w:t>按需采购，</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实行二次询价</w:t>
      </w:r>
      <w:r>
        <w:rPr>
          <w:rFonts w:hint="eastAsia" w:ascii="宋体" w:hAnsi="宋体" w:eastAsia="宋体" w:cs="宋体"/>
          <w:color w:val="000000" w:themeColor="text1"/>
          <w:kern w:val="0"/>
          <w:sz w:val="24"/>
          <w:szCs w:val="24"/>
          <w:highlight w:val="none"/>
          <w14:textFill>
            <w14:solidFill>
              <w14:schemeClr w14:val="tx1"/>
            </w14:solidFill>
          </w14:textFill>
        </w:rPr>
        <w:t>，同一套书取</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各</w:t>
      </w:r>
      <w:r>
        <w:rPr>
          <w:rFonts w:hint="eastAsia" w:ascii="宋体" w:hAnsi="宋体" w:eastAsia="宋体" w:cs="宋体"/>
          <w:color w:val="000000" w:themeColor="text1"/>
          <w:kern w:val="0"/>
          <w:sz w:val="24"/>
          <w:szCs w:val="24"/>
          <w:highlight w:val="none"/>
          <w14:textFill>
            <w14:solidFill>
              <w14:schemeClr w14:val="tx1"/>
            </w14:solidFill>
          </w14:textFill>
        </w:rPr>
        <w:t>中标人的最低报价。</w:t>
      </w:r>
    </w:p>
    <w:p>
      <w:pPr>
        <w:shd w:val="clear"/>
        <w:spacing w:line="360" w:lineRule="auto"/>
        <w:contextualSpacing/>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二、技术要求</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1.投标人为专门从事图书经销的法人单位，有从事图书经销和数据加工业务的专业人员。近</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三</w:t>
      </w:r>
      <w:r>
        <w:rPr>
          <w:rFonts w:hint="eastAsia" w:ascii="宋体" w:hAnsi="宋体" w:eastAsia="宋体" w:cs="宋体"/>
          <w:color w:val="000000" w:themeColor="text1"/>
          <w:kern w:val="0"/>
          <w:sz w:val="24"/>
          <w:szCs w:val="24"/>
          <w:highlight w:val="none"/>
          <w14:textFill>
            <w14:solidFill>
              <w14:schemeClr w14:val="tx1"/>
            </w14:solidFill>
          </w14:textFill>
        </w:rPr>
        <w:t>年有为高校图书馆供应图书并提供相应机读数据（采访、编目）的经历。</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2.投标人与国内绝大多数出版社有供书合作并保证渠道畅通，不仅能确保国内中央级、大学级出版社的供书，还能保证绝大多数地方出版社出版的供书。</w:t>
      </w:r>
    </w:p>
    <w:p>
      <w:pPr>
        <w:shd w:val="clear"/>
        <w:spacing w:line="360" w:lineRule="auto"/>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其中应重点保障下列出版社新书品种的覆盖率和采全率：清华大学出版社、中国社会科学出版社、科学出版社、生活•读书•新知三联书店、北京大学出版社、社会科学文献出版社、机械工业出版社、译林出版社、复旦大学出版社、商务印书馆、电子工业出版社、中信出版社、广西师范大学出版社、人民出版社、人民邮电出版社、凤凰出版社、浙江大学出版社、人民文学出版社、中国建筑工业出版社、作家出版社、中国人民大学出版社、中央编译出版社、化学工业出版社、上海人民出版社、中国科学技术出版社、上海译文出版社、上海外语教育出版社、经济科学出版社、国防工业出版社、高等教育出版社、中华书局、中国水利水电出版社、经济管理出版社、知识产权出版社、岳麓书社、中国环境出版社、上海古籍出版社、人民卫生出版社、中国财政经济出版社、中国医药科技出版社、世界图书出版公司、航空工业出版社、人民美术出版社、外语教学与研究出版社、中国旅游出版社、旅游教育出版社、浙江古籍出版社、国家图书馆出版社、人民教育出版社</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浙江人民出版社。</w:t>
      </w:r>
    </w:p>
    <w:p>
      <w:pPr>
        <w:shd w:val="clear"/>
        <w:spacing w:line="360" w:lineRule="auto"/>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3.图书采购方式</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（1）订单采购：提供最新出版和上市的图书书目数据给采购人以供选购，数据格式为标准的、能为采购人图书馆系统服务平台运行的MARC数据；</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（2）现场采购：采购人直接在中标人约定书店（库）、书市等现场选订，中标人提供相应的技术与设备等支持；</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特需采购：主要指急需图书采购和专题图书采购并送达采购人指定地点。急需图书在2~3个工作日内提供，中标人不得推诿；专题图书采购指采购人根据馆藏发展要求所指定的特定图书，中标人提供相应图书书目数据供采购人使用；</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其他方式：因学校专业建设、教学科研以及读者荐购的需要，有些图书需要网购或者零星采购，各个标项都有网购图书及零星采购图书的义务，网购图书及零星采购图书不受标项图书类别限制。网购图书及零星采购图书按照实际购买价格另行结算，其金额包含在各个标项的总金额里。</w:t>
      </w:r>
    </w:p>
    <w:p>
      <w:pPr>
        <w:shd w:val="clear"/>
        <w:spacing w:line="360" w:lineRule="auto"/>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4. 采访书目数据</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CALIS标准的CNMARC格式，字段包含ISBN、价格、题名、责任者、版本、丛书名、出版社、出版时间（精确到月份）、中图分类号、内容提要、读者对象、其它附注等尽可能详细的信息，能正确导入采购人图书馆系统服务平台，采访数据中的套书数据（既有套书ISBN又有分册ISBN）按分册提供采访书目数据；</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投标人应随时了解采购人的学科、专业设置、教学科研概况和图书馆的需求及馆藏重点、结构体系，熟悉采购人图书采购的特色需求。符合本科及以上层次读者的需求，覆盖≥95%出版社出版的符合读者层次的最新图书，重点保障出版社的图书书目数据覆盖率达到98%，不得以任何理由向采购人屏蔽图书采访书目数据；</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（3）向采购人提供最新出版图书采访书目数据每周≥1次、每次≥1500条数据，新书采访书目数据不得重复提供，不定期主动推送适合馆藏建设的主题图书及各类推荐图书的采访书目数据；</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新书采访书目数据及时、快捷，在书目报刊发的3天内把采访书目数据传递给采购人，如因中标人提供采访书目数据延误而导致无法采购到所需图书，采购人通过其他渠道采购而产生的所有费用由中标人承担。</w:t>
      </w:r>
    </w:p>
    <w:p>
      <w:pPr>
        <w:shd w:val="clear"/>
        <w:spacing w:line="360" w:lineRule="auto"/>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5. 采访订单处理</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（1）无条件受理采购人依据其它书目来源提交的符合其采购图书内容的图书订单；</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（2）建立独立的采购人图书订单库，核查采购人的图书订单避免重复，监控报订图书的采购动态并向采购人及时提供；</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（3）采购人以电子邮件方式发送订单的在接收订单后48小时内反馈图书订单信息，如发现订单内容不符招标图书项目、订购价格与实际价格有较大出入、订单层次不符本科及以上层次、单册码洋</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00元以上、单册码洋</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00-</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00元的订购数超过1册</w:t>
      </w:r>
      <w:r>
        <w:rPr>
          <w:rFonts w:hint="eastAsia" w:ascii="宋体" w:hAnsi="宋体" w:eastAsia="宋体" w:cs="宋体"/>
          <w:color w:val="FF0000"/>
          <w:kern w:val="0"/>
          <w:sz w:val="24"/>
          <w:szCs w:val="24"/>
          <w:highlight w:val="none"/>
        </w:rPr>
        <w:t>、</w:t>
      </w:r>
      <w:r>
        <w:rPr>
          <w:rFonts w:hint="eastAsia" w:ascii="宋体" w:hAnsi="宋体" w:eastAsia="宋体" w:cs="宋体"/>
          <w:color w:val="000000" w:themeColor="text1"/>
          <w:kern w:val="0"/>
          <w:sz w:val="24"/>
          <w:szCs w:val="24"/>
          <w:highlight w:val="none"/>
          <w14:textFill>
            <w14:solidFill>
              <w14:schemeClr w14:val="tx1"/>
            </w14:solidFill>
          </w14:textFill>
        </w:rPr>
        <w:t>高职高专和青少读物、纯外文书、特殊版本（活页书、袋装书、线装书、裸脊书、页码少于80页、64及以下开本、随书配送磁带另外收费的）等其他特殊情况时需二次确认，经采购人再次确认后方可安排采购，订单处理过程中发现书名和ISBN变更、出版时间延后或出版计划取消、丛书或者连续出版物复本书不配套等情况应及时通报；</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采购人提出的读者荐购订单，要求在三个工作日内做出回复，现货一周内到货，期货一个月内必须到货；</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投标人必须按采购人订购的图书品种、数量及时供货，除推迟出版或发生影响合同履行的不可抗力事情以外，若不能按时供货的图书种数或册数超过订单订购数的20%，即可以认定该投标人不具备供货条件，一旦采购人提出终止供货的要求，该投标人必须接受，给采购人造成的损失由投标人承担。为尽可能消除因投标人不能按合同规定要求供货所造成的影响，采购人有权采取相应的补救措施（如直接向出版商邮购图书或向其他供货商补订图书），由此给采购人造成的各项损失或增加的各项费用（如折扣损失、邮费、数据费、加工费）等均由违约的供货商承担；</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（5）每月反馈订单执行情况、报送逾期未到图书书目并注明原因，如“已采购未到货”、“包销书”、“出版社缺货”、“不适藏撤消”等，因采访书目数据偏差导致的图书拒订率不得超过1%；</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对采购人提交的订单在合同期内不得擅自中止供货，合同期结束前一个月提供详细的自评报告，包括但不限于服务期间订购种数、册数、总码洋、总实价、不能供货品种数量、仍在执行中的订购品种数量，仍在执行中的采购品种附清单及预估价。</w:t>
      </w:r>
    </w:p>
    <w:p>
      <w:pPr>
        <w:shd w:val="clear"/>
        <w:spacing w:line="360" w:lineRule="auto"/>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6.图书配送</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按采购人订购的图书品种、数量及时供货，除取消出版、出版变更或发生影响合同履行的不可抗力事情外，不得搭售任何其它采购人订单以外的品种、不得擅自取消采购人的采购订单，一经发现立即终止采购合同；</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（2）配送图书应保证质量，若验收时发现有非正版图书或污损、图文不清、缺页、倒页、缺附件等质量不合格的图书，以及与订单不符的图书，一律予以退货，由此造成的损失及费用全部由投标人承担；</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（3）图书配送过程中出现ISBN或书名更改、数量小于订购数、价格涨幅过大等情况时需经采购人二次确认；</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（4）送货至采购人指定地点、提供点对点送货服务，由中标人自行负责送达或委托送达（包括邮局、快递公司或其它），配送时间相对固定，配送前提前通知采购人；采购人急需图书应快速响应，及时配送；</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采用防水包装纸打包，符合安全运输的包装要求，到采购人指定地点后在指定位置摆放整齐，为此所发生的费用全部由中标人承担，在到达采购人指定地点前发生的不可预见的风险均由中标人负责，同时提供发货清单一式三份（内容一致、不得涂改），包装内货物与发货清单对应，包装内货物顺序与发货清单所列顺序一致，清单包括包号、书号、书名、出版社、品种、册数、单价及每包的种、册、码洋的小计，一份附于包装货件内（一包一单）、两份以包装号为序，统计该批次图书的总种数、总册数及总码洋并加盖公章；</w:t>
      </w:r>
    </w:p>
    <w:p>
      <w:pPr>
        <w:shd w:val="clear"/>
        <w:spacing w:line="360" w:lineRule="auto"/>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7.图书到馆率</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现采图书1个月内到馆率≥98%，电子订单预订图书前3个月的平均到馆率≥90%、全年平均到馆率≥95%，若未达到以上要求即可认定中标人不具备向采购人进行供货的能力，采购人可要求终止合同，有权采取相应的补救措施（如转向其他代理商补订图书），由此给采购人造成的各项损失或增加的各项费用（如折扣损失、邮费等）均由中标人承担。</w:t>
      </w:r>
    </w:p>
    <w:p>
      <w:pPr>
        <w:shd w:val="clear"/>
        <w:spacing w:line="360" w:lineRule="auto"/>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8.加工服务</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投标人应根据采购人的实际工作运行程序，负责为采购人提供到馆加工服务，加工场地由采购人提供。</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图书加工主要有以下工序：拆包；核对清单；盖馆藏章（分别盖于书口中间位置与书名页中下部空白处）；贴磁条（型号为国产科晶16cm新安全磁条）；贴条形码（为19mm*40mm之矩形，分别贴于书名页天头居中处，距书顶1 mm，最后一页左上角空白处，距左边缘和书顶各1mm）；图书分类编目（分类编目须严格遵循《中国图书分类法》第五版及新版中国机读目录格式使用手册（2012年版）有关之规则，具体要求本馆另行以书面形式告知）；打印财产登记帐；打印、粘贴图书书标（外围为25mm*35mm之矩形，内红色边框为23mm*33mm，内部不分栏）；贴透明保护膜；辅助工作人员做好典藏、统计工作；每周将分至临海校区的书打包并运至校车上。</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（2）图书加工过程中所需的耗材，馆藏章、油墨、磁条、条形码、书标、保护膜等由投标人提供，相关规范由采购人提供。</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（3）投标人不得以任何理由拒绝完成采购人按工作规范提出的修改任务，采购人对此修改不承担任何费用。</w:t>
      </w:r>
    </w:p>
    <w:p>
      <w:pPr>
        <w:shd w:val="clea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（4）因投标人原因，发生图书的漏编、错编、误加工等错误，投标人有义务纠正并按要求补编、改正并承担相应费用。</w:t>
      </w:r>
    </w:p>
    <w:p>
      <w:pPr>
        <w:shd w:val="clear"/>
        <w:spacing w:line="360" w:lineRule="auto"/>
        <w:ind w:firstLine="482" w:firstLineChars="200"/>
        <w:contextualSpacing/>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三、商务要求</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1．交付时间：</w:t>
      </w:r>
      <w:r>
        <w:rPr>
          <w:rFonts w:hint="eastAsia" w:ascii="宋体" w:hAnsi="宋体" w:eastAsia="宋体" w:cs="宋体"/>
          <w:color w:val="000000" w:themeColor="text1"/>
          <w:kern w:val="0"/>
          <w:sz w:val="24"/>
          <w:szCs w:val="24"/>
          <w:highlight w:val="none"/>
          <w14:textFill>
            <w14:solidFill>
              <w14:schemeClr w14:val="tx1"/>
            </w14:solidFill>
          </w14:textFill>
        </w:rPr>
        <w:t>具体时间按采购人要求。</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2．交付地点：</w:t>
      </w:r>
      <w:r>
        <w:rPr>
          <w:rFonts w:hint="eastAsia" w:ascii="宋体" w:hAnsi="宋体" w:eastAsia="宋体" w:cs="宋体"/>
          <w:color w:val="000000" w:themeColor="text1"/>
          <w:kern w:val="0"/>
          <w:sz w:val="24"/>
          <w:szCs w:val="24"/>
          <w:highlight w:val="none"/>
          <w14:textFill>
            <w14:solidFill>
              <w14:schemeClr w14:val="tx1"/>
            </w14:solidFill>
          </w14:textFill>
        </w:rPr>
        <w:t>台州学院图书馆指定地点。</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 合同履行期限：</w:t>
      </w:r>
      <w:r>
        <w:rPr>
          <w:rFonts w:hint="eastAsia" w:ascii="宋体" w:hAnsi="宋体" w:eastAsia="宋体" w:cs="宋体"/>
          <w:color w:val="000000" w:themeColor="text1"/>
          <w:kern w:val="0"/>
          <w:sz w:val="24"/>
          <w:szCs w:val="24"/>
          <w:highlight w:val="none"/>
          <w14:textFill>
            <w14:solidFill>
              <w14:schemeClr w14:val="tx1"/>
            </w14:solidFill>
          </w14:textFill>
        </w:rPr>
        <w:t>自合同签订之日起至202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年12月31日（供书在202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年11月20日之前完成）。</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4.质保期：</w:t>
      </w:r>
      <w:r>
        <w:rPr>
          <w:rFonts w:hint="eastAsia" w:ascii="宋体" w:hAnsi="宋体" w:eastAsia="宋体" w:cs="宋体"/>
          <w:color w:val="000000" w:themeColor="text1"/>
          <w:kern w:val="0"/>
          <w:sz w:val="24"/>
          <w:szCs w:val="24"/>
          <w:highlight w:val="none"/>
          <w14:textFill>
            <w14:solidFill>
              <w14:schemeClr w14:val="tx1"/>
            </w14:solidFill>
          </w14:textFill>
        </w:rPr>
        <w:t>质保期为1年，质保期内发现图书质量问题免费予以调换。</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5．验收标准</w:t>
      </w:r>
      <w:r>
        <w:rPr>
          <w:rFonts w:hint="eastAsia" w:ascii="宋体" w:hAnsi="宋体" w:eastAsia="宋体" w:cs="宋体"/>
          <w:color w:val="000000" w:themeColor="text1"/>
          <w:kern w:val="0"/>
          <w:sz w:val="24"/>
          <w:szCs w:val="24"/>
          <w:highlight w:val="none"/>
          <w14:textFill>
            <w14:solidFill>
              <w14:schemeClr w14:val="tx1"/>
            </w14:solidFill>
          </w14:textFill>
        </w:rPr>
        <w:t>：</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5.1验收依据：</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（1）合同、采购文件、投标文件；</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（2）供应商提供的技术规格、经采购人认可的合同货物的有效检验文件；</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（3）供应商投标文件中提供的经采购人认可的合同货物的验收标准（符合中国有关的国家、地方、行业标准）和检测办法及相应检测手段。</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5.2供应商应派员在所供货物到采购人处时进行到货验收，若发现任何损坏及质量问题，供应商负责妥善处理直至采购人满意，由此产生的费用由供应商承担。</w:t>
      </w:r>
    </w:p>
    <w:p>
      <w:pPr>
        <w:shd w:val="clear"/>
        <w:tabs>
          <w:tab w:val="left" w:pos="720"/>
        </w:tabs>
        <w:spacing w:line="360" w:lineRule="auto"/>
        <w:ind w:left="420" w:left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6．服务承诺：</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6.1供应商应按采购文件、投标文件的规定，满足采购人的所有技术要求和服务要求。</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6.2送交到采购人的图书不能有任何质量问题，若验收时发现有污损、图文不清、缺页、倒装、缺附件等不合格图书及与订单不符的图书一律予以退换，不能以已加工为理由拒绝，由此造成的损失及费用全部由中标人承担，若发现明显不适宜采购人收藏的图书允许采购人无条件退换；</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6.3采购人因误订不适合馆藏的图书，在未加盖馆藏章、不影响第二次销售的情况下允许退货；</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6.4出现以下情况承诺无条件予以退换并承担所退图书的运输费用：运输过程中出现图书破损、污损，出版社印刷、装订造成的图书质量问题；高职高专及以下的图书；活页书、袋装书、线装书、异常开本、异常装帧的图书；页码少于80、开本小于64（包括64开）的图书及明显不适合采购人收藏的图书；函装书和套书如内含多个分书名未经复核确认的，单册码洋</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00元以上、单册码洋</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00-</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00元的订购数超过1册以上未经复核的图书；实际到书与采访订单不符（书名、ISBN、出版年、价格等）的图书；由于中标人原因造成的错发、重发的图书；因中标人提供书目信息错误或不明确（如读者对象、版次未注明等）而造成采购人订购错误的图书。</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6.5除响应采购文件的要求外，供应商还承诺以下服务和优惠措施：</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（1）采购人图书馆和采购人其他各部门所采购的中文纸质图书均享受中标价格（折扣率）。 </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（2）采购人需要供应商配合提供的其他服务等。  </w:t>
      </w:r>
    </w:p>
    <w:p>
      <w:pPr>
        <w:shd w:val="clear"/>
        <w:tabs>
          <w:tab w:val="left" w:pos="720"/>
        </w:tabs>
        <w:spacing w:line="360" w:lineRule="auto"/>
        <w:ind w:left="420" w:left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7．采购资金的支付方式、时间、条件</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（1）合同生效以及具备实施条件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后</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并在财政资金下达后，采购人向供应商</w:t>
      </w:r>
      <w:r>
        <w:rPr>
          <w:rFonts w:hint="eastAsia" w:ascii="宋体" w:hAnsi="宋体" w:eastAsia="宋体" w:cs="宋体"/>
          <w:color w:val="auto"/>
          <w:kern w:val="0"/>
          <w:sz w:val="24"/>
          <w:szCs w:val="24"/>
          <w:highlight w:val="none"/>
        </w:rPr>
        <w:t>支付合同金额40%的预付款。</w:t>
      </w:r>
      <w:r>
        <w:rPr>
          <w:rFonts w:hint="eastAsia" w:ascii="宋体" w:hAnsi="宋体" w:eastAsia="宋体" w:cs="宋体"/>
          <w:color w:val="000000" w:themeColor="text1"/>
          <w:kern w:val="0"/>
          <w:sz w:val="24"/>
          <w:szCs w:val="24"/>
          <w:highlight w:val="none"/>
          <w14:textFill>
            <w14:solidFill>
              <w14:schemeClr w14:val="tx1"/>
            </w14:solidFill>
          </w14:textFill>
        </w:rPr>
        <w:t>配送图书经采购人验收合格3个月内（遇假期顺延），按实际到货数量和实洋（</w:t>
      </w:r>
      <w:bookmarkStart w:id="102" w:name="_GoBack"/>
      <w:r>
        <w:rPr>
          <w:rFonts w:hint="eastAsia" w:ascii="宋体" w:hAnsi="宋体" w:eastAsia="宋体" w:cs="宋体"/>
          <w:color w:val="000000" w:themeColor="text1"/>
          <w:kern w:val="0"/>
          <w:sz w:val="24"/>
          <w:szCs w:val="24"/>
          <w:highlight w:val="none"/>
          <w14:textFill>
            <w14:solidFill>
              <w14:schemeClr w14:val="tx1"/>
            </w14:solidFill>
          </w14:textFill>
        </w:rPr>
        <w:t>码洋</w:t>
      </w:r>
      <w:bookmarkEnd w:id="102"/>
      <w:r>
        <w:rPr>
          <w:rFonts w:hint="eastAsia" w:ascii="宋体" w:hAnsi="宋体" w:eastAsia="宋体" w:cs="宋体"/>
          <w:color w:val="000000" w:themeColor="text1"/>
          <w:kern w:val="0"/>
          <w:sz w:val="24"/>
          <w:szCs w:val="24"/>
          <w:highlight w:val="none"/>
          <w14:textFill>
            <w14:solidFill>
              <w14:schemeClr w14:val="tx1"/>
            </w14:solidFill>
          </w14:textFill>
        </w:rPr>
        <w:t>*投标折扣率）结算，采购人在合同履行结束前向供应商支付剩余应付款项；如遇到不可抗拒因素，双方协商解决。支付总金额不超过预算金额。</w:t>
      </w:r>
    </w:p>
    <w:p>
      <w:pPr>
        <w:shd w:val="clear"/>
        <w:tabs>
          <w:tab w:val="left" w:pos="720"/>
        </w:tabs>
        <w:spacing w:line="360" w:lineRule="auto"/>
        <w:ind w:left="420" w:left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（2）供应商应为采购人提供符合国家有关法律规定和采购人财务规定的正式图书销售发票。在同一张发票上反映其批次、码洋、销售折扣、实洋以及图书的种数和册数等内容，以便采购人按实洋付款。</w:t>
      </w:r>
    </w:p>
    <w:p>
      <w:pPr>
        <w:pStyle w:val="2"/>
        <w:jc w:val="center"/>
        <w:rPr>
          <w:rFonts w:hint="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eastAsia="黑体"/>
          <w:color w:val="auto"/>
          <w:highlight w:val="none"/>
          <w:lang w:eastAsia="zh-CN"/>
        </w:rPr>
      </w:pPr>
      <w:r>
        <w:rPr>
          <w:rFonts w:hint="eastAsia"/>
          <w:color w:val="auto"/>
          <w:highlight w:val="none"/>
        </w:rPr>
        <w:t xml:space="preserve">第五章 </w:t>
      </w:r>
      <w:r>
        <w:rPr>
          <w:rFonts w:hint="eastAsia" w:ascii="黑体" w:hAnsi="黑体" w:eastAsia="黑体"/>
          <w:color w:val="auto"/>
          <w:highlight w:val="none"/>
        </w:rPr>
        <w:t>买卖</w:t>
      </w:r>
      <w:r>
        <w:rPr>
          <w:rFonts w:ascii="黑体" w:hAnsi="黑体" w:eastAsia="黑体"/>
          <w:color w:val="auto"/>
          <w:highlight w:val="none"/>
        </w:rPr>
        <w:t>合同</w:t>
      </w:r>
      <w:bookmarkEnd w:id="46"/>
      <w:bookmarkEnd w:id="47"/>
      <w:bookmarkEnd w:id="48"/>
      <w:bookmarkEnd w:id="49"/>
      <w:bookmarkEnd w:id="50"/>
    </w:p>
    <w:p>
      <w:pPr>
        <w:snapToGrid w:val="0"/>
        <w:spacing w:line="360" w:lineRule="auto"/>
        <w:jc w:val="left"/>
        <w:outlineLvl w:val="1"/>
        <w:rPr>
          <w:rFonts w:ascii="宋体" w:hAnsi="宋体" w:cs="宋体"/>
          <w:b/>
          <w:color w:val="000000" w:themeColor="text1"/>
          <w:kern w:val="0"/>
          <w:sz w:val="24"/>
          <w14:textFill>
            <w14:solidFill>
              <w14:schemeClr w14:val="tx1"/>
            </w14:solidFill>
          </w14:textFill>
        </w:rPr>
      </w:pPr>
      <w:bookmarkStart w:id="51" w:name="_Toc17331"/>
      <w:r>
        <w:rPr>
          <w:rFonts w:hint="eastAsia" w:ascii="宋体" w:hAnsi="宋体" w:cs="宋体"/>
          <w:b/>
          <w:color w:val="000000" w:themeColor="text1"/>
          <w:kern w:val="0"/>
          <w:sz w:val="24"/>
          <w14:textFill>
            <w14:solidFill>
              <w14:schemeClr w14:val="tx1"/>
            </w14:solidFill>
          </w14:textFill>
        </w:rPr>
        <w:t xml:space="preserve">项目名称：                                      </w:t>
      </w:r>
    </w:p>
    <w:p>
      <w:pPr>
        <w:snapToGrid w:val="0"/>
        <w:spacing w:line="360" w:lineRule="auto"/>
        <w:jc w:val="left"/>
        <w:outlineLvl w:val="1"/>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项目编号：</w:t>
      </w:r>
    </w:p>
    <w:p>
      <w:pPr>
        <w:snapToGrid w:val="0"/>
        <w:spacing w:line="360" w:lineRule="auto"/>
        <w:jc w:val="left"/>
        <w:outlineLvl w:val="1"/>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标段号：</w:t>
      </w:r>
    </w:p>
    <w:p>
      <w:pPr>
        <w:snapToGrid w:val="0"/>
        <w:spacing w:line="360" w:lineRule="auto"/>
        <w:outlineLvl w:val="1"/>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甲方：（采购单位）台州学院              </w:t>
      </w:r>
    </w:p>
    <w:p>
      <w:pPr>
        <w:snapToGrid w:val="0"/>
        <w:spacing w:line="360" w:lineRule="auto"/>
        <w:outlineLvl w:val="1"/>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所在地：浙江台州                              </w:t>
      </w:r>
    </w:p>
    <w:p>
      <w:pPr>
        <w:snapToGrid w:val="0"/>
        <w:spacing w:line="360" w:lineRule="auto"/>
        <w:outlineLvl w:val="1"/>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乙方：（中标供应商）            </w:t>
      </w:r>
    </w:p>
    <w:p>
      <w:pPr>
        <w:snapToGrid w:val="0"/>
        <w:spacing w:line="360" w:lineRule="auto"/>
        <w:outlineLvl w:val="1"/>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所在地： </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甲、乙双方根据台州学院关于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softHyphen/>
      </w:r>
      <w:r>
        <w:rPr>
          <w:rFonts w:hint="eastAsia" w:ascii="宋体" w:hAnsi="宋体" w:cs="宋体"/>
          <w:color w:val="000000" w:themeColor="text1"/>
          <w:kern w:val="0"/>
          <w:sz w:val="24"/>
          <w14:textFill>
            <w14:solidFill>
              <w14:schemeClr w14:val="tx1"/>
            </w14:solidFill>
          </w14:textFill>
        </w:rPr>
        <w:t>项目公开招标的结果，签署本合同。</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第一条：图书采购方式</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1.订单采购：提供最新出版和上市的图书书目数据给甲方以供选购，数据格式为标准的、能为甲方图书馆系统服务平台运行的MARC数据；</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2.现场采购：甲方直接在乙方约定书店（库）、书市等现场选订，</w:t>
      </w:r>
      <w:bookmarkStart w:id="52" w:name="_Hlk122550582"/>
      <w:r>
        <w:rPr>
          <w:rFonts w:hint="eastAsia" w:ascii="宋体" w:hAnsi="宋体" w:cs="宋体"/>
          <w:color w:val="000000" w:themeColor="text1"/>
          <w:kern w:val="0"/>
          <w:sz w:val="24"/>
          <w14:textFill>
            <w14:solidFill>
              <w14:schemeClr w14:val="tx1"/>
            </w14:solidFill>
          </w14:textFill>
        </w:rPr>
        <w:t>乙方提供相应的技术与设备等支持</w:t>
      </w:r>
      <w:bookmarkEnd w:id="52"/>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特需采购：主要指急需图书采购和专题图书采购并送达甲方指定地点。急需图书在2~3个工作日内提供，乙方不得推诿；专题图书采购指甲方根据馆藏发展要求所指定的特定图书，乙方提供相应图书书目数据供甲方使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其他方式：因学校专业建设、教学科研以及读者荐购的需要，有些图书需要网购或者零星采购，乙方有网购图书及零星采购图书的义务，网购图书及零星采购图书不受标项图书类别限制。网购图书及零星采购图书按照实际购买价格另行结算，其金额包含在本合同金额里。</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第二条：知识产权</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乙方应保证所提供的货物或其任何一部分均不会侵犯任何第三方的知识产权。如果任何第三方向甲方提起侵权索赔，乙方应负责与之进行交涉，造成甲方损失的后果均由乙方承担。</w:t>
      </w:r>
    </w:p>
    <w:p>
      <w:pPr>
        <w:snapToGrid w:val="0"/>
        <w:spacing w:line="360" w:lineRule="auto"/>
        <w:ind w:firstLine="482"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第三条：转包或分包</w:t>
      </w:r>
      <w:r>
        <w:rPr>
          <w:rFonts w:hint="eastAsia" w:ascii="宋体" w:hAnsi="宋体" w:cs="宋体"/>
          <w:color w:val="000000" w:themeColor="text1"/>
          <w:kern w:val="0"/>
          <w:sz w:val="24"/>
          <w14:textFill>
            <w14:solidFill>
              <w14:schemeClr w14:val="tx1"/>
            </w14:solidFill>
          </w14:textFill>
        </w:rPr>
        <w:t xml:space="preserve"> </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1.本合同范围的货物，应由乙方直接供应，不得转让他人供应；</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2.除非得到甲方的书面同意，乙方不得将本合同范围的货物全部或部分分包给他人供应；</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3.如有转让和未经甲方同意的分包行为，甲方有权解除合同，并追究乙方的违约责任。</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第四条：供书时间及到馆率</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乙方收到甲方所确认的书目定单后，乙方应及时对甲方所报的图书订单汇总、查重，安排采购。现采图书1个月内到馆率≥98%，电子订单预订图书前3个月的平均到馆率≥90%、全年平均到馆率≥95%，若未达到以上要求即可认定乙方不具备向甲方进行供货的能力，甲方可要求终止合同，有权采取相应的补救措施（如转向其他代理商补订图书），由此给甲方造成的各项损失或增加的各项费用（如折扣损失、邮费等）均由乙方承担。对于甲方采购的货物，除不可抗力等客观因素外，乙方在合同履行期未到达最低到货率，或达到最低到货率，但未达到乙方承诺到货率，甲方有权解除合同，并追究乙方的违约责任。</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第五条：图书加工及交货</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1.加工服务</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乙方应根据甲方的实际工作运行程序，负责为甲方提供到馆加工服务，加工场地由甲方提供，乙方提供相应的技术与设备等支持。</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图书加工主要有以下工序：拆包；核对清单；盖馆藏章（分别盖于书口中间位置与书名页中下部空白处）；贴磁条（型号为国产科晶16cm新安全磁条）；贴条形码（为19mm*40mm之矩形，分别贴于书名页天头居中处，距书顶1 mm，最后一页左上角空白处，距左边缘和书顶各1mm）；图书分类编目（分类编目须严格遵循《中国图书分类法》第五版及新版中国机读目录格式使用手册（2012年版）有关之规则，具体要求甲方另行以书面形式告知）；打印财产登记帐；打印、粘贴图书书标（外围为25mm*35mm之矩形，内红色边框为23mm*33mm，内部不分栏）；贴透明保护膜；辅助工作人员做好典藏、统计工作；每周将分至临海校区的书打包并运至校车上。</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(2)图书加工过程中所需的耗材，馆藏章、油墨、磁条、条形码、书标、保护膜等由乙方提供，相关规范由甲方提供。</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(3)乙方不得以任何理由拒绝完成甲方按工作规范提出的修改任务，甲方对此修改不承担任何费用。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(4)因乙方原因，发生图书的漏编、错编、误加工等错误，乙方有义务纠正并按要求补编、改正并承担相应费用。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2.图书配送</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(1)按甲方订购的图书品种、数量及时供货，除取消出版、出版变更或发生影响合同履行的不可抗力事情外，不得搭售任何其它甲方订单以外的品种、不得擅自取消甲方的采购订单，一经发现立即终止采购合同；</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(2)配送图书应保证质量，若验收时发现有非正版图书或污损、图文不清、缺页、倒页、缺附件等质量不合格的图书，以及与订单不符的图书，一律予以退货，由此造成的损失及费用全部由乙方承担；</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(3)图书配送过程中出现ISBN或书名更改、数量小于订购数、价格涨幅过大等情况时需经甲方二次确认；</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(4)送货至甲方指定地点、提供点对点送货服务，由乙方自行负责送达或委托送达（包括邮局、快递公司或其它），配送时间相对固定，配送前提前通知甲方；甲方急需图书应快速响应，及时配送；</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采用防水包装纸打包，符合安全运输的包装要求，到甲方指定地点后在指定位置摆放整齐，为此所发生的费用全部由乙方承担，在到达甲方指定地点前发生的不可预见的风险均由乙方负责，同时提供发货清单一式三份（内容一致、不得涂改），包装内货物与发货清单对应，包装内货物顺序与发货清单所列顺序一致，清单包括包号、书号、书名、出版社、品种、册数、单价及每包的种、册、码洋的小计，一份附于包装货件内（一包一单）、两份以包装号为序，统计该批次图书的总种数、总册数及总码洋并加盖公章。</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第六条：采访书目数据以及采访订单处理</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1.采访书目数据</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CALIS标准的CNMARC格式，字段包含ISBN、价格、题名、责任者、版本、丛书名、出版社、出版时间（精确到月份）、中图分类号、内容提要、读者对象、其它附注等尽可能详细的信息，能正确导入甲方图书馆系统服务平台，采访数据中的套书数据（既有套书ISBN又有分册ISBN）按分册提供采访书目数据；</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乙方应随时了解甲方的学科、专业设置、教学科研概况和图书馆的需求及馆藏重点、结构体系，熟悉甲方图书采购的特色需求。符合本科及以上层次读者的需求，覆盖≥95%出版社出版的符合读者层次的最新图书，重点保障出版社的图书书目数据覆盖率达到98%，不得以任何理由向甲方屏蔽图书采访书目数据；</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(3)向甲方提供最新出版图书采访书目数据每周≥1次、每次≥1500条数据，新书采访书目数据不得重复提供，不定期主动推送适合馆藏建设的主题图书及各类推荐图书的采访书目数据；</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(4)新书采访书目数据及时、快捷，在书目报刊发的3天内把采访书目数据传递给甲方，如因乙方提供采访书目数据延误而导致无法采购到所需图书，甲方通过其他渠道采购而产生的所有费用由乙方承担。</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2.采访订单处理</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(1)无条件受理甲方依据其它书目来源提交的符合其采购图书内容的图书订单；</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(2)建立独立的甲方图书订单库，核查甲方的图书订单避免重复，监控报订图书的采购动态并向甲方及时提供；</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(3)甲方以电子邮件方式发送订单的在接收订单后24小时内反馈图书订单信息，如发现订单内容不符招标图书项目、订购价格与实际价格有较大出入、订单层次不符本科及以上层次、单册码洋</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00元以上、单册码洋</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00-</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00元的订购数超过1册、高职高专和青少读物、纯外文书、特殊版本（活页书、袋装书、线装书、裸脊书、页码少于80页、64及以下开本、随书配送磁带另外收费的）等其他特殊情况时需二次确认，经甲方再次确认后方可安排采购，订单处理过程中发现书名和ISBN变更、出版时间延后或出版计划取消、丛书或者连续出版物复本书不配套等情况应及时通报；</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甲方提出的读者荐购订单，要求在三个工作日内做出回复，现货一周内到货，期货一个月内必须到货；</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乙方必须按甲方订购的图书品种、数量及时供货，除推迟出版或发生影响合同履行的不可抗力事情以外，若不能按时供货的图书种数或册数超过订单订购数的20%，即可以认定该乙方不具备供货条件，一旦甲方提出终止供货的要求，该乙方必须接受，给甲方造成的损失由乙方承担。为尽可能消除因乙方不能按合同规定要求供货所造成的影响，甲方有权采取相应的补救措施（如直接向出版商邮购图书或向其他供货商补订图书），由此给甲方造成的各项损失或增加的各项费用（如折扣损失、邮费、数据费、加工费）等均由违约的供货商承担；</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(5)每月反馈订单执行情况、报送逾期未到图书书目并注明原因，如“已采购未到货”、“包销书”、“出版社缺货”、“不适藏撤消”等，因采访书目数据偏差导致的图书拒订率不得超过1%；</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对甲方提交的订单在合同期内不得擅自中止供货，合同期结束前一个月提供详细的自评报告，包括但不限于服务期间订购种数、册数、总码洋、总实价、不能供货品种数量、仍在执行中的订购品种数量，仍在执行中的采购品种附清单及预估价。</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第七条：图书质量保证</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1.乙方应按招标文件规定和甲方图书订单要求，向甲方提供未经使用的全新正版的合格图书，附件齐全。质保期</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年。质保期内发现图书质量问题免费予以调换。</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2.因图书印刷和装帧的质量问题，乙方应负责包退、包换或贬值处理：</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(1)更换：由乙方承担所发生的全部费用；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(2)贬值处理：由甲乙双方合议确定价格；</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(3)退货处理：乙方应退还甲方支付的货款，同时承担所退图书的运输等费用。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上述三种方式如协商不成，甲方有权直接自行选择上述三项处理方式任一项进行处理，乙方不得异议。</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3.如在使用过程中发生质量问题，乙方在接到甲方通知后五日内到达甲方现场处理，否则，应按每次1000元向甲方支付违约金。</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第八条：服务承诺</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1.乙方应按招标文件的规定，满足甲方提出的所有技术要求和服务要求。</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送交到甲方的图书不能有任何质量问题，若验收时发现有污损、图文不清、缺页、倒装、缺附件等不合格图书及与订单不符的图书一律予以退换，不能以已加工为理由拒绝，由此造成的损失及费用全部由乙方承担，若发现明显不适宜甲方收藏的图书，允许甲方无条件退换。</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3.甲方因误订不适合馆藏的图书，在未加盖馆藏章、不影响第二次销售的情况下，乙方应允许甲方退货。</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4.出现以下情况乙方承诺无条件予以退换，并承担所退图书的运输等费用：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(1)运输过程中出现图书破损、污损；</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(2)出版社印刷、装订造成的图书质量问题；</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(3)高职高专及以下的图书；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(4)活页书、袋装书、线装书、异常开本、异常装帧的图书；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(5)页码少于80、开本小于64（包括64开）的图书及明显不适合甲方收藏的图书；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(6)函装书和套书如内含多个分书名未经复核确认的，单册码洋</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00元以上、单册码洋</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00-</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00元的订购数超过1册以上未经复核的图书；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(7)实际到书与采访订单不符（书名、ISBN、出版年、价格等）的图书；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(8)由于乙方原因造成的错发、重发的图书；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(9)因乙方提供书目信息错误或不明确（如读者对象、版次未注明等）而造成甲方订购错误的图书。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5.订购图书涨价，乙方未征求甲方书面意见，甲方可以退货，乙方不得拒绝。</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6.除响应招标文件的要求外，乙方还承诺以下服务和优惠措施：</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(1)甲方图书馆和甲方其他各部门所采购的中文纸质图书均享受中标价格（折扣率）；</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(2)甲方需要乙方配合提供的其他服务等。</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第九条：违约责任</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乙方的违约责任</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1.产品错发到货地点或收货人的，乙方应负责将货物运交合同规定的到货地点或接货人，费用由乙方负责。</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2.乙方出现以下情况之一者，视为乙方违约，并且甲方有权解除合同，所产生的一切后果由乙方负责。</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(1)连续二周提供的采访书目数据30%不适合甲方馆藏；</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(2)配发高价低折类图书、特价类图书；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(3)未经甲方同意私自搭配图书；</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(4)配发盗版、盗印图书及其他非法出版物；</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(5)未按甲方要求提供承诺的加工服务，差错率高（差错率大于3%），经提醒未及时整改；</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(6)在本次招标中的承诺未能履行并经甲方提醒仍未能执行的；</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(7)因触犯国家法律法规而受到有关部门调查处罚的；</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(8)其他违反本合同及招标文件、投标文件有关条款之行为。</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甲方的违约责任</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1.甲方违反协议拒绝收货或验货的，承担由此给乙方造成的损失和运输部门的相关费用。</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2.甲方错填到货地点或收货人，承担因此给乙方造成的损失。</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第十条：验收和结算方式</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1.甲方对乙方送交的图书依据招标文件上的要求标准，及时拆包验收，并出具验收报告。对验收不合格的不予接收。</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2.乙方应派员在所供货物到甲方处时进行到货验收，若发现任何损坏及质量问题，乙方负责妥善处理直至甲方满意，由此产生的费用由乙方承担。</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3.图书书款以图书码洋的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折扣结算。合同生效以及具备实施条件后，并在财政资金下达后，甲方向乙方支付本标项预算金额40%的预付款。配送图书经甲方验收合格3个月内（遇假期顺延），按实际到货数量和实洋（码洋*投标折扣率）结算，甲方在合同履行结束前向乙方支付剩余应付款项；如遇到不可抗拒因素，双方协商解决。支付总金额不超过本标项预算金额。</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4.乙方应为甲方提供符合国家有关法律规定和甲方财务规定的正式图书销售发票。在同一张发票上反映其码洋、销售折扣、实洋以及图书的种数和册数等内容，以便甲方按实洋付款。</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5.乙方根据本合同规定有责任向甲方支付违约金或其他赔偿时，甲方在书面通知乙方后，有权从上述付款中扣除该款项。</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w:t>
      </w:r>
      <w:r>
        <w:rPr>
          <w:rFonts w:hint="eastAsia" w:ascii="宋体" w:hAnsi="宋体" w:cs="宋体"/>
          <w:b/>
          <w:color w:val="000000" w:themeColor="text1"/>
          <w:sz w:val="24"/>
          <w:lang w:val="en-US" w:eastAsia="zh-CN"/>
          <w14:textFill>
            <w14:solidFill>
              <w14:schemeClr w14:val="tx1"/>
            </w14:solidFill>
          </w14:textFill>
        </w:rPr>
        <w:t>一</w:t>
      </w:r>
      <w:r>
        <w:rPr>
          <w:rFonts w:hint="eastAsia" w:ascii="宋体" w:hAnsi="宋体" w:cs="宋体"/>
          <w:b/>
          <w:color w:val="000000" w:themeColor="text1"/>
          <w:sz w:val="24"/>
          <w14:textFill>
            <w14:solidFill>
              <w14:schemeClr w14:val="tx1"/>
            </w14:solidFill>
          </w14:textFill>
        </w:rPr>
        <w:t>条：不可抗力事件处理</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因台风、地震、水灾以及其它非甲、乙方责任造成的，不能预见、不能避免、并不能克服的客观情况为不可抗力。遇有不可抗力的一方，应立即将事件情况通知对方，由双方协商解决。因与国家政策抵触，导致不能正常继续履行合同的，由双方协商解决。</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w:t>
      </w:r>
      <w:r>
        <w:rPr>
          <w:rFonts w:hint="eastAsia" w:ascii="宋体" w:hAnsi="宋体" w:cs="宋体"/>
          <w:b/>
          <w:color w:val="000000" w:themeColor="text1"/>
          <w:sz w:val="24"/>
          <w:lang w:val="en-US" w:eastAsia="zh-CN"/>
          <w14:textFill>
            <w14:solidFill>
              <w14:schemeClr w14:val="tx1"/>
            </w14:solidFill>
          </w14:textFill>
        </w:rPr>
        <w:t>二</w:t>
      </w:r>
      <w:r>
        <w:rPr>
          <w:rFonts w:hint="eastAsia" w:ascii="宋体" w:hAnsi="宋体" w:cs="宋体"/>
          <w:b/>
          <w:color w:val="000000" w:themeColor="text1"/>
          <w:sz w:val="24"/>
          <w14:textFill>
            <w14:solidFill>
              <w14:schemeClr w14:val="tx1"/>
            </w14:solidFill>
          </w14:textFill>
        </w:rPr>
        <w:t>条：争议的解决</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如因履行本合同发生争议时，双方应首先协商解决。如协商不成，依法向甲方所在地人民法院提起诉讼。</w:t>
      </w:r>
    </w:p>
    <w:p>
      <w:pPr>
        <w:snapToGrid w:val="0"/>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w:t>
      </w:r>
      <w:r>
        <w:rPr>
          <w:rFonts w:hint="eastAsia" w:ascii="宋体" w:hAnsi="宋体" w:cs="宋体"/>
          <w:b/>
          <w:color w:val="000000" w:themeColor="text1"/>
          <w:sz w:val="24"/>
          <w:lang w:val="en-US" w:eastAsia="zh-CN"/>
          <w14:textFill>
            <w14:solidFill>
              <w14:schemeClr w14:val="tx1"/>
            </w14:solidFill>
          </w14:textFill>
        </w:rPr>
        <w:t>三</w:t>
      </w:r>
      <w:r>
        <w:rPr>
          <w:rFonts w:hint="eastAsia" w:ascii="宋体" w:hAnsi="宋体" w:cs="宋体"/>
          <w:b/>
          <w:color w:val="000000" w:themeColor="text1"/>
          <w:sz w:val="24"/>
          <w14:textFill>
            <w14:solidFill>
              <w14:schemeClr w14:val="tx1"/>
            </w14:solidFill>
          </w14:textFill>
        </w:rPr>
        <w:t>条：合同的生效</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1.本合同经双方法定代表人或其授权代表人签字（或签章）并加盖双方公章（或合同专用章）后生效。合同有效期至202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年12月31日止（供书在202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年11月20日之前完成）。</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2.在本合同执行期内，如需要修改或补充合同内容，由双方另签署书面修改或补充条款，作为本合同不可分割的一部分。</w:t>
      </w:r>
    </w:p>
    <w:p>
      <w:pPr>
        <w:snapToGrid w:val="0"/>
        <w:spacing w:line="360" w:lineRule="auto"/>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本合同未尽事宜，遵照《民法典》</w:t>
      </w:r>
      <w:r>
        <w:rPr>
          <w:rFonts w:hint="eastAsia" w:ascii="宋体" w:hAnsi="宋体" w:cs="宋体"/>
          <w:color w:val="000000" w:themeColor="text1"/>
          <w:kern w:val="0"/>
          <w:sz w:val="24"/>
          <w:szCs w:val="24"/>
          <w:highlight w:val="none"/>
          <w:lang w:val="en-US" w:eastAsia="zh-CN"/>
          <w14:textFill>
            <w14:solidFill>
              <w14:schemeClr w14:val="tx1"/>
            </w14:solidFill>
          </w14:textFill>
        </w:rPr>
        <w:t>及</w:t>
      </w:r>
      <w:r>
        <w:rPr>
          <w:rFonts w:hint="eastAsia" w:ascii="宋体" w:hAnsi="宋体" w:eastAsia="宋体" w:cs="宋体"/>
          <w:color w:val="000000" w:themeColor="text1"/>
          <w:kern w:val="0"/>
          <w:sz w:val="24"/>
          <w:szCs w:val="24"/>
          <w:highlight w:val="none"/>
          <w14:textFill>
            <w14:solidFill>
              <w14:schemeClr w14:val="tx1"/>
            </w14:solidFill>
          </w14:textFill>
        </w:rPr>
        <w:t>有关</w:t>
      </w:r>
      <w:r>
        <w:rPr>
          <w:rFonts w:hint="eastAsia" w:ascii="宋体" w:hAnsi="宋体" w:cs="宋体"/>
          <w:color w:val="000000" w:themeColor="text1"/>
          <w:kern w:val="0"/>
          <w:sz w:val="24"/>
          <w:szCs w:val="24"/>
          <w:highlight w:val="none"/>
          <w:lang w:val="en-US" w:eastAsia="zh-CN"/>
          <w14:textFill>
            <w14:solidFill>
              <w14:schemeClr w14:val="tx1"/>
            </w14:solidFill>
          </w14:textFill>
        </w:rPr>
        <w:t>规定</w:t>
      </w:r>
      <w:r>
        <w:rPr>
          <w:rFonts w:hint="eastAsia" w:ascii="宋体" w:hAnsi="宋体" w:eastAsia="宋体" w:cs="宋体"/>
          <w:color w:val="000000" w:themeColor="text1"/>
          <w:kern w:val="0"/>
          <w:sz w:val="24"/>
          <w:szCs w:val="24"/>
          <w:highlight w:val="none"/>
          <w14:textFill>
            <w14:solidFill>
              <w14:schemeClr w14:val="tx1"/>
            </w14:solidFill>
          </w14:textFill>
        </w:rPr>
        <w:t>执行</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.本合同一式柒份，甲方执伍份，乙方执贰份。本项目未尽事宜以招标文件、投标文件及澄清文件等为准。</w:t>
      </w:r>
    </w:p>
    <w:p>
      <w:pPr>
        <w:spacing w:line="360" w:lineRule="auto"/>
        <w:ind w:left="5880" w:hanging="5880" w:hangingChars="2450"/>
        <w:rPr>
          <w:rFonts w:hint="eastAsia" w:ascii="宋体" w:hAnsi="宋体" w:cs="宋体"/>
          <w:color w:val="000000" w:themeColor="text1"/>
          <w:sz w:val="24"/>
          <w14:textFill>
            <w14:solidFill>
              <w14:schemeClr w14:val="tx1"/>
            </w14:solidFill>
          </w14:textFill>
        </w:rPr>
      </w:pPr>
    </w:p>
    <w:p>
      <w:pPr>
        <w:spacing w:line="360" w:lineRule="auto"/>
        <w:ind w:left="5880" w:hanging="5880" w:hangingChars="24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甲方（公章）台州</w:t>
      </w:r>
      <w:r>
        <w:rPr>
          <w:rFonts w:hint="eastAsia" w:ascii="宋体" w:hAnsi="宋体" w:cs="宋体"/>
          <w:color w:val="000000" w:themeColor="text1"/>
          <w:kern w:val="0"/>
          <w:sz w:val="24"/>
          <w14:textFill>
            <w14:solidFill>
              <w14:schemeClr w14:val="tx1"/>
            </w14:solidFill>
          </w14:textFill>
        </w:rPr>
        <w:t xml:space="preserve">学院                  </w:t>
      </w:r>
      <w:r>
        <w:rPr>
          <w:rFonts w:hint="eastAsia" w:ascii="宋体" w:hAnsi="宋体" w:cs="宋体"/>
          <w:color w:val="000000" w:themeColor="text1"/>
          <w:sz w:val="24"/>
          <w14:textFill>
            <w14:solidFill>
              <w14:schemeClr w14:val="tx1"/>
            </w14:solidFill>
          </w14:textFill>
        </w:rPr>
        <w:t>乙方（公章）</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                          法定代表人：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                          委托代理人：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联系电话：0576-88660896               联系电话：</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开户银行：建行台州市分行              开户银行：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账号：</w:t>
      </w:r>
      <w:r>
        <w:rPr>
          <w:rFonts w:hint="eastAsia" w:ascii="宋体" w:hAnsi="宋体" w:cs="宋体"/>
          <w:color w:val="000000" w:themeColor="text1"/>
          <w:kern w:val="0"/>
          <w:sz w:val="24"/>
          <w14:textFill>
            <w14:solidFill>
              <w14:schemeClr w14:val="tx1"/>
            </w14:solidFill>
          </w14:textFill>
        </w:rPr>
        <w:t>33050166350000000852</w:t>
      </w:r>
      <w:r>
        <w:rPr>
          <w:rFonts w:hint="eastAsia" w:ascii="宋体" w:hAnsi="宋体" w:cs="宋体"/>
          <w:color w:val="000000" w:themeColor="text1"/>
          <w:sz w:val="24"/>
          <w14:textFill>
            <w14:solidFill>
              <w14:schemeClr w14:val="tx1"/>
            </w14:solidFill>
          </w14:textFill>
        </w:rPr>
        <w:t xml:space="preserve">            账号：</w:t>
      </w:r>
    </w:p>
    <w:p>
      <w:pPr>
        <w:spacing w:line="360" w:lineRule="auto"/>
        <w:ind w:left="4560" w:hanging="4560" w:hangingChars="19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地址及邮编：台州市市府大道1139号     地址及邮编：</w:t>
      </w:r>
    </w:p>
    <w:p>
      <w:pPr>
        <w:shd w:val="clea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hd w:val="clear"/>
        <w:tabs>
          <w:tab w:val="left" w:pos="3570"/>
        </w:tabs>
        <w:spacing w:line="360" w:lineRule="auto"/>
        <w:jc w:val="right"/>
        <w:rPr>
          <w:rFonts w:hint="eastAsia" w:ascii="宋体" w:hAnsi="宋体" w:eastAsia="宋体" w:cs="宋体"/>
          <w:b/>
          <w:color w:val="FF0000"/>
          <w:kern w:val="0"/>
          <w:sz w:val="24"/>
          <w:szCs w:val="24"/>
          <w:highlight w:val="none"/>
        </w:rPr>
      </w:pPr>
      <w:r>
        <w:rPr>
          <w:rFonts w:hint="eastAsia" w:ascii="宋体" w:hAnsi="宋体" w:eastAsia="宋体" w:cs="宋体"/>
          <w:color w:val="000000" w:themeColor="text1"/>
          <w:sz w:val="24"/>
          <w:szCs w:val="24"/>
          <w:highlight w:val="none"/>
          <w14:textFill>
            <w14:solidFill>
              <w14:schemeClr w14:val="tx1"/>
            </w14:solidFill>
          </w14:textFill>
        </w:rPr>
        <w:t xml:space="preserve">  签订时间：</w:t>
      </w:r>
      <w:r>
        <w:rPr>
          <w:rFonts w:hint="eastAsia" w:ascii="宋体" w:hAnsi="宋体" w:eastAsia="宋体" w:cs="宋体"/>
          <w:color w:val="FF0000"/>
          <w:sz w:val="24"/>
          <w:szCs w:val="24"/>
          <w:highlight w:val="none"/>
        </w:rPr>
        <w:t xml:space="preserve"> </w:t>
      </w:r>
      <w:r>
        <w:rPr>
          <w:rFonts w:hint="eastAsia" w:ascii="宋体" w:hAnsi="宋体" w:eastAsia="宋体" w:cs="宋体"/>
          <w:color w:val="auto"/>
          <w:sz w:val="24"/>
          <w:szCs w:val="24"/>
          <w:highlight w:val="none"/>
        </w:rPr>
        <w:t>20</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    月    日</w:t>
      </w:r>
    </w:p>
    <w:p>
      <w:pPr>
        <w:tabs>
          <w:tab w:val="left" w:pos="3570"/>
        </w:tabs>
        <w:spacing w:line="360" w:lineRule="auto"/>
        <w:jc w:val="right"/>
        <w:rPr>
          <w:rFonts w:hint="eastAsia" w:ascii="宋体" w:hAnsi="宋体" w:eastAsia="宋体" w:cs="宋体"/>
          <w:b/>
          <w:color w:val="auto"/>
          <w:kern w:val="0"/>
          <w:sz w:val="24"/>
          <w:szCs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bookmarkEnd w:id="51"/>
    <w:p>
      <w:pPr>
        <w:spacing w:line="360" w:lineRule="auto"/>
        <w:jc w:val="center"/>
        <w:outlineLvl w:val="0"/>
        <w:rPr>
          <w:rFonts w:ascii="宋体" w:hAnsi="宋体" w:cs="宋体"/>
          <w:b/>
          <w:bCs/>
          <w:color w:val="auto"/>
          <w:sz w:val="36"/>
          <w:szCs w:val="44"/>
          <w:highlight w:val="none"/>
        </w:rPr>
      </w:pPr>
      <w:bookmarkStart w:id="53" w:name="_Toc30339"/>
      <w:bookmarkStart w:id="54" w:name="_Toc24468"/>
      <w:r>
        <w:rPr>
          <w:rFonts w:hint="eastAsia" w:ascii="宋体" w:hAnsi="宋体" w:cs="宋体"/>
          <w:b/>
          <w:bCs/>
          <w:color w:val="auto"/>
          <w:sz w:val="36"/>
          <w:szCs w:val="44"/>
          <w:highlight w:val="none"/>
        </w:rPr>
        <w:t>第六章 投标文件格式附件</w:t>
      </w:r>
      <w:bookmarkEnd w:id="53"/>
      <w:bookmarkEnd w:id="54"/>
    </w:p>
    <w:p>
      <w:pPr>
        <w:outlineLvl w:val="0"/>
        <w:rPr>
          <w:rFonts w:ascii="宋体" w:hAnsi="宋体" w:cs="宋体"/>
          <w:b/>
          <w:color w:val="auto"/>
          <w:kern w:val="0"/>
          <w:sz w:val="28"/>
          <w:szCs w:val="28"/>
          <w:highlight w:val="none"/>
        </w:rPr>
      </w:pPr>
      <w:bookmarkStart w:id="55" w:name="_Toc12913"/>
      <w:bookmarkStart w:id="56" w:name="_Toc30432"/>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55"/>
      <w:bookmarkEnd w:id="56"/>
    </w:p>
    <w:p>
      <w:pPr>
        <w:spacing w:line="360" w:lineRule="auto"/>
        <w:rPr>
          <w:rFonts w:ascii="宋体" w:hAnsi="宋体" w:cs="宋体"/>
          <w:b/>
          <w:color w:val="auto"/>
          <w:sz w:val="30"/>
          <w:szCs w:val="30"/>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cs="宋体"/>
          <w:color w:val="auto"/>
          <w:sz w:val="36"/>
          <w:szCs w:val="36"/>
          <w:highlight w:val="none"/>
        </w:rPr>
      </w:pPr>
    </w:p>
    <w:p>
      <w:pPr>
        <w:autoSpaceDE w:val="0"/>
        <w:autoSpaceDN w:val="0"/>
        <w:adjustRightInd w:val="0"/>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（资格及商务技术文件）</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资格及商务技术文件目录</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第一部分 资格证明文件目录</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1、投标声明书（附件2）；</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2、授权委托书（附件3）；</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3、法人或者其他组织的营业执照等证明文件，自然人的身份证明；</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4、财务状况报告，依法缴纳税收和社会保障资金的相关材料；</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5、具备履行合同所必需的设备和专业技术能力的证明材料（根据项目性质提供）；</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6</w:t>
      </w:r>
      <w:r>
        <w:rPr>
          <w:rFonts w:hint="eastAsia" w:ascii="宋体" w:hAnsi="宋体" w:cs="宋体"/>
          <w:color w:val="auto"/>
          <w:sz w:val="28"/>
          <w:szCs w:val="36"/>
          <w:highlight w:val="none"/>
        </w:rPr>
        <w:t>、</w:t>
      </w:r>
      <w:r>
        <w:rPr>
          <w:rFonts w:hint="eastAsia" w:ascii="宋体" w:hAnsi="宋体" w:cs="宋体"/>
          <w:color w:val="auto"/>
          <w:sz w:val="28"/>
          <w:szCs w:val="36"/>
          <w:highlight w:val="none"/>
          <w:lang w:val="zh-CN"/>
        </w:rPr>
        <w:t>采购公告中符合供应商特定条件的有效资质证书复印件（投标供应商特定条件中有要求的必须提供），以及需要说明的其他资料</w:t>
      </w:r>
      <w:r>
        <w:rPr>
          <w:rFonts w:hint="eastAsia" w:ascii="宋体" w:hAnsi="宋体" w:cs="宋体"/>
          <w:color w:val="auto"/>
          <w:sz w:val="28"/>
          <w:szCs w:val="36"/>
          <w:highlight w:val="none"/>
        </w:rPr>
        <w:t>。</w:t>
      </w:r>
    </w:p>
    <w:p>
      <w:pPr>
        <w:rPr>
          <w:rFonts w:ascii="宋体" w:hAnsi="宋体" w:cs="宋体"/>
          <w:color w:val="auto"/>
          <w:sz w:val="28"/>
          <w:szCs w:val="36"/>
          <w:highlight w:val="none"/>
        </w:rPr>
      </w:pPr>
      <w:r>
        <w:rPr>
          <w:rFonts w:hint="eastAsia" w:ascii="宋体" w:hAnsi="宋体" w:cs="宋体"/>
          <w:color w:val="auto"/>
          <w:sz w:val="28"/>
          <w:szCs w:val="36"/>
          <w:highlight w:val="none"/>
        </w:rPr>
        <w:br w:type="page"/>
      </w:r>
    </w:p>
    <w:p>
      <w:pPr>
        <w:spacing w:line="360" w:lineRule="auto"/>
        <w:outlineLvl w:val="0"/>
        <w:rPr>
          <w:rFonts w:ascii="宋体" w:hAnsi="宋体" w:cs="宋体"/>
          <w:b/>
          <w:color w:val="auto"/>
          <w:sz w:val="28"/>
          <w:highlight w:val="none"/>
        </w:rPr>
      </w:pPr>
      <w:bookmarkStart w:id="57" w:name="_Toc23824"/>
      <w:bookmarkStart w:id="58" w:name="_Toc10699"/>
      <w:r>
        <w:rPr>
          <w:rFonts w:hint="eastAsia" w:ascii="宋体" w:hAnsi="宋体" w:cs="宋体"/>
          <w:b/>
          <w:color w:val="auto"/>
          <w:sz w:val="28"/>
          <w:highlight w:val="none"/>
        </w:rPr>
        <w:t>附件2</w:t>
      </w:r>
      <w:bookmarkEnd w:id="57"/>
      <w:bookmarkEnd w:id="58"/>
    </w:p>
    <w:p>
      <w:pPr>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投标声明书</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（投标人名称）</w:t>
      </w:r>
      <w:r>
        <w:rPr>
          <w:rFonts w:hint="eastAsia" w:ascii="宋体" w:hAnsi="宋体" w:cs="宋体"/>
          <w:color w:val="auto"/>
          <w:sz w:val="24"/>
          <w:szCs w:val="32"/>
          <w:highlight w:val="none"/>
        </w:rPr>
        <w:t>系中华人民共和国合法企业，经营地址。</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投标人名称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rPr>
        <w:t xml:space="preserve">                   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）的投标，为此，我公司就本次投标有关事项郑重声明如下：</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line="400" w:lineRule="exact"/>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产品、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严格履行政府采购合同，不降低合同约定的产品质量和服务，不擅自变更、中止、终止合同，或拒绝履行合同义务；</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pacing w:line="400" w:lineRule="exact"/>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本单位若违反以上承诺，将无条件接受项目主管部门和有关监督管理部门的调查，并愿意承担取消中标资格及限制在本地区参与投标等一切法律责任。</w:t>
      </w:r>
    </w:p>
    <w:p>
      <w:pPr>
        <w:pStyle w:val="25"/>
        <w:rPr>
          <w:rFonts w:ascii="宋体" w:hAnsi="宋体" w:cs="宋体"/>
          <w:color w:val="auto"/>
          <w:sz w:val="24"/>
          <w:szCs w:val="32"/>
          <w:highlight w:val="none"/>
          <w:lang w:val="zh-CN"/>
        </w:rPr>
      </w:pP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p>
    <w:p>
      <w:pPr>
        <w:spacing w:line="360" w:lineRule="auto"/>
        <w:ind w:firstLine="4560" w:firstLineChars="1900"/>
        <w:rPr>
          <w:rFonts w:ascii="宋体" w:hAnsi="宋体" w:cs="宋体"/>
          <w:color w:val="auto"/>
          <w:kern w:val="0"/>
          <w:sz w:val="24"/>
          <w:highlight w:val="none"/>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outlineLvl w:val="0"/>
        <w:rPr>
          <w:rFonts w:ascii="宋体" w:hAnsi="宋体" w:cs="宋体"/>
          <w:b/>
          <w:color w:val="auto"/>
          <w:sz w:val="28"/>
          <w:highlight w:val="none"/>
        </w:rPr>
      </w:pPr>
      <w:bookmarkStart w:id="59" w:name="_Toc5973"/>
      <w:bookmarkStart w:id="60" w:name="_Toc1946"/>
      <w:r>
        <w:rPr>
          <w:rFonts w:hint="eastAsia" w:ascii="宋体" w:hAnsi="宋体" w:cs="宋体"/>
          <w:b/>
          <w:color w:val="auto"/>
          <w:sz w:val="28"/>
          <w:highlight w:val="none"/>
        </w:rPr>
        <w:t>附件3</w:t>
      </w:r>
      <w:bookmarkEnd w:id="59"/>
      <w:bookmarkEnd w:id="60"/>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授权委托书</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项目</w:t>
      </w:r>
      <w:r>
        <w:rPr>
          <w:rFonts w:hint="eastAsia" w:ascii="宋体" w:hAnsi="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ind w:firstLine="480" w:firstLineChars="200"/>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line="360" w:lineRule="auto"/>
        <w:rPr>
          <w:rFonts w:ascii="宋体" w:hAnsi="宋体" w:cs="宋体"/>
          <w:b/>
          <w:color w:val="auto"/>
          <w:sz w:val="24"/>
          <w:highlight w:val="none"/>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line="360" w:lineRule="auto"/>
        <w:rPr>
          <w:rFonts w:ascii="宋体" w:hAnsi="宋体" w:cs="宋体"/>
          <w:b/>
          <w:bCs/>
          <w:color w:val="auto"/>
          <w:sz w:val="28"/>
          <w:szCs w:val="36"/>
          <w:highlight w:val="none"/>
        </w:rPr>
      </w:pPr>
    </w:p>
    <w:p>
      <w:pPr>
        <w:spacing w:line="360" w:lineRule="auto"/>
        <w:outlineLvl w:val="0"/>
        <w:rPr>
          <w:rFonts w:ascii="宋体" w:hAnsi="宋体" w:cs="宋体"/>
          <w:b/>
          <w:bCs/>
          <w:color w:val="auto"/>
          <w:sz w:val="28"/>
          <w:szCs w:val="36"/>
          <w:highlight w:val="none"/>
        </w:rPr>
      </w:pPr>
      <w:bookmarkStart w:id="61" w:name="_Toc10120"/>
      <w:bookmarkStart w:id="62" w:name="_Toc31224"/>
      <w:r>
        <w:rPr>
          <w:rFonts w:hint="eastAsia" w:ascii="宋体" w:hAnsi="宋体" w:cs="宋体"/>
          <w:b/>
          <w:bCs/>
          <w:color w:val="auto"/>
          <w:sz w:val="28"/>
          <w:szCs w:val="36"/>
          <w:highlight w:val="none"/>
        </w:rPr>
        <w:t>附件4</w:t>
      </w:r>
      <w:bookmarkEnd w:id="61"/>
      <w:bookmarkEnd w:id="62"/>
    </w:p>
    <w:p>
      <w:pPr>
        <w:spacing w:line="360" w:lineRule="auto"/>
        <w:jc w:val="center"/>
        <w:rPr>
          <w:rFonts w:ascii="宋体" w:hAnsi="宋体" w:cs="宋体"/>
          <w:b/>
          <w:bCs/>
          <w:color w:val="auto"/>
          <w:sz w:val="32"/>
          <w:szCs w:val="40"/>
          <w:highlight w:val="none"/>
        </w:rPr>
      </w:pPr>
      <w:bookmarkStart w:id="63" w:name="_Toc495302720"/>
      <w:r>
        <w:rPr>
          <w:rFonts w:hint="eastAsia" w:ascii="宋体" w:hAnsi="宋体" w:cs="宋体"/>
          <w:b/>
          <w:bCs/>
          <w:color w:val="auto"/>
          <w:sz w:val="32"/>
          <w:szCs w:val="40"/>
          <w:highlight w:val="none"/>
        </w:rPr>
        <w:t>财务状况报告</w:t>
      </w:r>
      <w:bookmarkEnd w:id="63"/>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投标人可提供以下一种材料作为本单位财务状态报告：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1.提供经审计的财务报告，包括资产负载表、利润表、现金流量表、所有者权益变动表及其附注复印件；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2.银行出具的资信证明复印件；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3.复印件需要盖章确认。</w:t>
      </w: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rPr>
          <w:rFonts w:ascii="宋体" w:hAnsi="宋体" w:cs="宋体"/>
          <w:b/>
          <w:bCs/>
          <w:color w:val="auto"/>
          <w:sz w:val="32"/>
          <w:szCs w:val="40"/>
          <w:highlight w:val="none"/>
        </w:rPr>
      </w:pPr>
      <w:bookmarkStart w:id="64" w:name="_Toc495302721"/>
      <w:r>
        <w:rPr>
          <w:rFonts w:hint="eastAsia" w:ascii="宋体" w:hAnsi="宋体" w:cs="宋体"/>
          <w:b/>
          <w:bCs/>
          <w:color w:val="auto"/>
          <w:sz w:val="32"/>
          <w:szCs w:val="40"/>
          <w:highlight w:val="none"/>
        </w:rPr>
        <w:br w:type="page"/>
      </w:r>
    </w:p>
    <w:p>
      <w:pP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rPr>
        <w:t>依法缴纳税收和社会保障资金</w:t>
      </w:r>
      <w:bookmarkEnd w:id="64"/>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依法缴纳税收和社会保障资金的相关材料要求：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营业执照属于三证合一的，则不需要提供税务登记证复印件。营业执照属于五证合一的，则不需要提供税务登记证和社会保险登记证复印件。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1.提供投标人税务登记证（国税、地税）和参加本项目采购活动前近三个月内相应税务机关出具的完税证明，包括缴纳增值税、企业所得税等凭据的复印件；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2.提供投标人社会保险登记证和参加政府采购活动前近三个月内缴纳社会保险的凭据（专用收据或社会保险缴纳清单）复印件；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3.依法免税或不需要缴纳社会保障资金的投标人，应提供相应文件证明其依法免税或不需要缴纳社会保障资金的材料复印件；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4.复印件需要盖章确认。</w:t>
      </w:r>
    </w:p>
    <w:p>
      <w:pPr>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br w:type="page"/>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第二部分 商务与技术文件</w:t>
      </w:r>
      <w:r>
        <w:rPr>
          <w:rFonts w:hint="eastAsia" w:ascii="宋体" w:hAnsi="宋体" w:cs="宋体"/>
          <w:b/>
          <w:bCs/>
          <w:color w:val="auto"/>
          <w:sz w:val="28"/>
          <w:szCs w:val="36"/>
          <w:highlight w:val="none"/>
        </w:rPr>
        <w:t>目录</w:t>
      </w:r>
    </w:p>
    <w:p>
      <w:pPr>
        <w:spacing w:line="360" w:lineRule="auto"/>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一、技术方案描述部分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1、投标人情况介绍（附件5）；</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2、项目需求的理解与分析；</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3、项目组织实施方案；</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4、项目实施人员一览表（附件6）；</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 xml:space="preserve">5、项目负责人资格情况表(附件7)； </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6、安装、调试及验收方案；</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二、投标产品描述部分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1、投标产品描述及相关资料；</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2、拟投入产品清单 （附件8）；</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3、技术需求响应表（附件9）；</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4、投标人需要说明的其他内容；（包括可能影响投标人技术性能评分项的各类证明材料）</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三、商务响应部分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1、证书一览表（附件10）；</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2、近三年来类似项目的成功案例（附件11）；</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3、资信及商务需求响应表 （附件12）；</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4、售后服务情况表（附件13）；</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5、投标人需要说明的其他内容。（包括可能影响投标人企业实力及信誉评分项以及售后服务评分项的各类证明材料）</w:t>
      </w:r>
    </w:p>
    <w:p>
      <w:pPr>
        <w:spacing w:line="360" w:lineRule="auto"/>
        <w:rPr>
          <w:rFonts w:ascii="宋体" w:hAnsi="宋体" w:cs="宋体"/>
          <w:color w:val="auto"/>
          <w:sz w:val="24"/>
          <w:szCs w:val="32"/>
          <w:highlight w:val="none"/>
        </w:rPr>
      </w:pPr>
    </w:p>
    <w:p>
      <w:pPr>
        <w:outlineLvl w:val="0"/>
        <w:rPr>
          <w:rFonts w:ascii="宋体" w:hAnsi="宋体" w:cs="宋体"/>
          <w:b/>
          <w:bCs/>
          <w:color w:val="auto"/>
          <w:sz w:val="28"/>
          <w:szCs w:val="36"/>
          <w:highlight w:val="none"/>
          <w:lang w:val="zh-CN"/>
        </w:rPr>
      </w:pPr>
      <w:bookmarkStart w:id="65" w:name="_Toc19677"/>
      <w:bookmarkStart w:id="66" w:name="_Toc21996"/>
      <w:r>
        <w:rPr>
          <w:rFonts w:hint="eastAsia" w:ascii="宋体" w:hAnsi="宋体" w:cs="宋体"/>
          <w:b/>
          <w:bCs/>
          <w:color w:val="auto"/>
          <w:sz w:val="28"/>
          <w:szCs w:val="36"/>
          <w:highlight w:val="none"/>
          <w:lang w:val="zh-CN"/>
        </w:rPr>
        <w:t>附件5</w:t>
      </w:r>
      <w:bookmarkEnd w:id="65"/>
      <w:bookmarkEnd w:id="66"/>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6"/>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8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企业名称</w:t>
            </w:r>
          </w:p>
        </w:tc>
        <w:tc>
          <w:tcPr>
            <w:tcW w:w="3765" w:type="dxa"/>
            <w:gridSpan w:val="6"/>
            <w:shd w:val="clear" w:color="auto" w:fill="auto"/>
            <w:vAlign w:val="center"/>
          </w:tcPr>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法人代表</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地址</w:t>
            </w:r>
          </w:p>
        </w:tc>
        <w:tc>
          <w:tcPr>
            <w:tcW w:w="3765" w:type="dxa"/>
            <w:gridSpan w:val="6"/>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企业性质</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80" w:type="dxa"/>
            <w:tcBorders>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股东姓名</w:t>
            </w:r>
          </w:p>
        </w:tc>
        <w:tc>
          <w:tcPr>
            <w:tcW w:w="690" w:type="dxa"/>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股权结构（%）</w:t>
            </w:r>
          </w:p>
        </w:tc>
        <w:tc>
          <w:tcPr>
            <w:tcW w:w="2115" w:type="dxa"/>
            <w:gridSpan w:val="3"/>
            <w:tcBorders>
              <w:bottom w:val="single" w:color="auto" w:sz="4" w:space="0"/>
            </w:tcBorders>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股东关系</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联系人姓名</w:t>
            </w:r>
          </w:p>
        </w:tc>
        <w:tc>
          <w:tcPr>
            <w:tcW w:w="690" w:type="dxa"/>
            <w:vMerge w:val="restart"/>
            <w:tcBorders>
              <w:top w:val="nil"/>
            </w:tcBorders>
            <w:shd w:val="clear" w:color="auto" w:fill="auto"/>
            <w:vAlign w:val="center"/>
          </w:tcPr>
          <w:p>
            <w:pPr>
              <w:jc w:val="center"/>
              <w:rPr>
                <w:rFonts w:ascii="宋体" w:hAnsi="宋体" w:cs="宋体"/>
                <w:color w:val="auto"/>
                <w:sz w:val="24"/>
                <w:highlight w:val="none"/>
              </w:rPr>
            </w:pPr>
          </w:p>
        </w:tc>
        <w:tc>
          <w:tcPr>
            <w:tcW w:w="960" w:type="dxa"/>
            <w:gridSpan w:val="2"/>
            <w:tcBorders>
              <w:top w:val="nil"/>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固定电话</w:t>
            </w:r>
          </w:p>
        </w:tc>
        <w:tc>
          <w:tcPr>
            <w:tcW w:w="2115" w:type="dxa"/>
            <w:gridSpan w:val="3"/>
            <w:tcBorders>
              <w:top w:val="nil"/>
              <w:bottom w:val="single" w:color="auto" w:sz="4" w:space="0"/>
            </w:tcBorders>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56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传真</w:t>
            </w:r>
          </w:p>
        </w:tc>
        <w:tc>
          <w:tcPr>
            <w:tcW w:w="2608" w:type="dxa"/>
            <w:gridSpan w:val="3"/>
            <w:vMerge w:val="restart"/>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0" w:type="dxa"/>
            <w:vMerge w:val="continue"/>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690" w:type="dxa"/>
            <w:vMerge w:val="continue"/>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手机</w:t>
            </w:r>
          </w:p>
        </w:tc>
        <w:tc>
          <w:tcPr>
            <w:tcW w:w="2115" w:type="dxa"/>
            <w:gridSpan w:val="3"/>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1560" w:type="dxa"/>
            <w:vMerge w:val="continue"/>
            <w:shd w:val="clear" w:color="auto" w:fill="auto"/>
            <w:vAlign w:val="center"/>
          </w:tcPr>
          <w:p>
            <w:pPr>
              <w:jc w:val="center"/>
              <w:rPr>
                <w:rFonts w:ascii="宋体" w:hAnsi="宋体" w:cs="宋体"/>
                <w:color w:val="auto"/>
                <w:sz w:val="24"/>
                <w:highlight w:val="none"/>
              </w:rPr>
            </w:pPr>
          </w:p>
        </w:tc>
        <w:tc>
          <w:tcPr>
            <w:tcW w:w="2608" w:type="dxa"/>
            <w:gridSpan w:val="3"/>
            <w:vMerge w:val="continue"/>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8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p>
            <w:pPr>
              <w:jc w:val="center"/>
              <w:rPr>
                <w:rFonts w:ascii="宋体" w:hAnsi="宋体" w:cs="宋体"/>
                <w:color w:val="auto"/>
                <w:sz w:val="24"/>
                <w:highlight w:val="none"/>
              </w:rPr>
            </w:pPr>
            <w:r>
              <w:rPr>
                <w:rFonts w:hint="eastAsia" w:ascii="宋体" w:hAnsi="宋体" w:cs="宋体"/>
                <w:color w:val="auto"/>
                <w:sz w:val="24"/>
                <w:highlight w:val="none"/>
              </w:rPr>
              <w:t>企</w:t>
            </w:r>
          </w:p>
          <w:p>
            <w:pPr>
              <w:jc w:val="center"/>
              <w:rPr>
                <w:rFonts w:ascii="宋体" w:hAnsi="宋体" w:cs="宋体"/>
                <w:color w:val="auto"/>
                <w:sz w:val="24"/>
                <w:highlight w:val="none"/>
              </w:rPr>
            </w:pPr>
            <w:r>
              <w:rPr>
                <w:rFonts w:hint="eastAsia" w:ascii="宋体" w:hAnsi="宋体" w:cs="宋体"/>
                <w:color w:val="auto"/>
                <w:sz w:val="24"/>
                <w:highlight w:val="none"/>
              </w:rPr>
              <w:t>业</w:t>
            </w:r>
          </w:p>
          <w:p>
            <w:pPr>
              <w:jc w:val="center"/>
              <w:rPr>
                <w:rFonts w:ascii="宋体" w:hAnsi="宋体" w:cs="宋体"/>
                <w:color w:val="auto"/>
                <w:sz w:val="24"/>
                <w:highlight w:val="none"/>
              </w:rPr>
            </w:pPr>
            <w:r>
              <w:rPr>
                <w:rFonts w:hint="eastAsia" w:ascii="宋体" w:hAnsi="宋体" w:cs="宋体"/>
                <w:color w:val="auto"/>
                <w:sz w:val="24"/>
                <w:highlight w:val="none"/>
              </w:rPr>
              <w:t>概</w:t>
            </w:r>
          </w:p>
          <w:p>
            <w:pPr>
              <w:jc w:val="center"/>
              <w:rPr>
                <w:rFonts w:ascii="宋体" w:hAnsi="宋体" w:cs="宋体"/>
                <w:color w:val="auto"/>
                <w:sz w:val="24"/>
                <w:highlight w:val="none"/>
              </w:rPr>
            </w:pPr>
            <w:r>
              <w:rPr>
                <w:rFonts w:hint="eastAsia" w:ascii="宋体" w:hAnsi="宋体" w:cs="宋体"/>
                <w:color w:val="auto"/>
                <w:sz w:val="24"/>
                <w:highlight w:val="none"/>
              </w:rPr>
              <w:t>况</w:t>
            </w:r>
          </w:p>
        </w:tc>
        <w:tc>
          <w:tcPr>
            <w:tcW w:w="690" w:type="dxa"/>
            <w:tcBorders>
              <w:top w:val="nil"/>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职工人数</w:t>
            </w:r>
          </w:p>
        </w:tc>
        <w:tc>
          <w:tcPr>
            <w:tcW w:w="960" w:type="dxa"/>
            <w:gridSpan w:val="2"/>
            <w:tcBorders>
              <w:top w:val="nil"/>
            </w:tcBorders>
            <w:shd w:val="clear" w:color="auto" w:fill="auto"/>
            <w:vAlign w:val="center"/>
          </w:tcPr>
          <w:p>
            <w:pPr>
              <w:jc w:val="center"/>
              <w:rPr>
                <w:rFonts w:ascii="宋体" w:hAnsi="宋体" w:cs="宋体"/>
                <w:color w:val="auto"/>
                <w:sz w:val="24"/>
                <w:highlight w:val="none"/>
              </w:rPr>
            </w:pPr>
          </w:p>
        </w:tc>
        <w:tc>
          <w:tcPr>
            <w:tcW w:w="926" w:type="dxa"/>
            <w:tcBorders>
              <w:top w:val="nil"/>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具备大专以上学历人数</w:t>
            </w:r>
          </w:p>
        </w:tc>
        <w:tc>
          <w:tcPr>
            <w:tcW w:w="1189" w:type="dxa"/>
            <w:gridSpan w:val="2"/>
            <w:tcBorders>
              <w:top w:val="nil"/>
            </w:tcBorders>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国家授予技术职称人数</w:t>
            </w:r>
          </w:p>
        </w:tc>
        <w:tc>
          <w:tcPr>
            <w:tcW w:w="2608" w:type="dxa"/>
            <w:gridSpan w:val="3"/>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69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占地面积</w:t>
            </w:r>
          </w:p>
        </w:tc>
        <w:tc>
          <w:tcPr>
            <w:tcW w:w="960" w:type="dxa"/>
            <w:gridSpan w:val="2"/>
            <w:shd w:val="clear" w:color="auto" w:fill="auto"/>
            <w:vAlign w:val="center"/>
          </w:tcPr>
          <w:p>
            <w:pPr>
              <w:jc w:val="center"/>
              <w:rPr>
                <w:rFonts w:ascii="宋体" w:hAnsi="宋体" w:cs="宋体"/>
                <w:color w:val="auto"/>
                <w:sz w:val="24"/>
                <w:highlight w:val="none"/>
              </w:rPr>
            </w:pPr>
          </w:p>
        </w:tc>
        <w:tc>
          <w:tcPr>
            <w:tcW w:w="926"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建筑面积</w:t>
            </w:r>
          </w:p>
        </w:tc>
        <w:tc>
          <w:tcPr>
            <w:tcW w:w="1189"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平方米</w:t>
            </w:r>
          </w:p>
          <w:p>
            <w:pPr>
              <w:jc w:val="center"/>
              <w:rPr>
                <w:rFonts w:ascii="宋体" w:hAnsi="宋体" w:cs="宋体"/>
                <w:color w:val="auto"/>
                <w:sz w:val="24"/>
                <w:highlight w:val="none"/>
              </w:rPr>
            </w:pPr>
            <w:r>
              <w:rPr>
                <w:rFonts w:hint="eastAsia" w:ascii="宋体" w:hAnsi="宋体" w:cs="宋体"/>
                <w:color w:val="auto"/>
                <w:sz w:val="24"/>
                <w:highlight w:val="none"/>
              </w:rPr>
              <w:t>□自有</w:t>
            </w:r>
          </w:p>
          <w:p>
            <w:pPr>
              <w:jc w:val="center"/>
              <w:rPr>
                <w:rFonts w:ascii="宋体" w:hAnsi="宋体" w:cs="宋体"/>
                <w:color w:val="auto"/>
                <w:sz w:val="24"/>
                <w:highlight w:val="none"/>
              </w:rPr>
            </w:pPr>
            <w:r>
              <w:rPr>
                <w:rFonts w:hint="eastAsia" w:ascii="宋体" w:hAnsi="宋体" w:cs="宋体"/>
                <w:color w:val="auto"/>
                <w:sz w:val="24"/>
                <w:highlight w:val="none"/>
              </w:rPr>
              <w:t>□租赁</w:t>
            </w: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生产经营场所及场所的设施与设备</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69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注册资金</w:t>
            </w:r>
          </w:p>
        </w:tc>
        <w:tc>
          <w:tcPr>
            <w:tcW w:w="960" w:type="dxa"/>
            <w:gridSpan w:val="2"/>
            <w:shd w:val="clear" w:color="auto" w:fill="auto"/>
            <w:vAlign w:val="center"/>
          </w:tcPr>
          <w:p>
            <w:pPr>
              <w:jc w:val="center"/>
              <w:rPr>
                <w:rFonts w:ascii="宋体" w:hAnsi="宋体" w:cs="宋体"/>
                <w:color w:val="auto"/>
                <w:sz w:val="24"/>
                <w:highlight w:val="none"/>
              </w:rPr>
            </w:pPr>
          </w:p>
        </w:tc>
        <w:tc>
          <w:tcPr>
            <w:tcW w:w="926"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注册发证机关</w:t>
            </w:r>
          </w:p>
        </w:tc>
        <w:tc>
          <w:tcPr>
            <w:tcW w:w="2749" w:type="dxa"/>
            <w:gridSpan w:val="3"/>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675"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公司成立时间</w:t>
            </w:r>
          </w:p>
        </w:tc>
        <w:tc>
          <w:tcPr>
            <w:tcW w:w="933" w:type="dxa"/>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69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核准经营范围</w:t>
            </w:r>
          </w:p>
        </w:tc>
        <w:tc>
          <w:tcPr>
            <w:tcW w:w="7243" w:type="dxa"/>
            <w:gridSpan w:val="9"/>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7933" w:type="dxa"/>
            <w:gridSpan w:val="10"/>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p>
            <w:pPr>
              <w:jc w:val="center"/>
              <w:rPr>
                <w:rFonts w:ascii="宋体" w:hAnsi="宋体" w:cs="宋体"/>
                <w:color w:val="auto"/>
                <w:sz w:val="24"/>
                <w:highlight w:val="none"/>
              </w:rPr>
            </w:pPr>
            <w:r>
              <w:rPr>
                <w:rFonts w:hint="eastAsia" w:ascii="宋体" w:hAnsi="宋体" w:cs="宋体"/>
                <w:color w:val="auto"/>
                <w:sz w:val="24"/>
                <w:highlight w:val="none"/>
              </w:rPr>
              <w:t>企业有关资质获证情况</w:t>
            </w:r>
          </w:p>
        </w:tc>
        <w:tc>
          <w:tcPr>
            <w:tcW w:w="1355" w:type="dxa"/>
            <w:gridSpan w:val="2"/>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产品生产许可证情况（对需获得生产许可证的产品要填写此栏）</w:t>
            </w:r>
          </w:p>
        </w:tc>
        <w:tc>
          <w:tcPr>
            <w:tcW w:w="1333" w:type="dxa"/>
            <w:gridSpan w:val="3"/>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产品名称</w:t>
            </w:r>
          </w:p>
        </w:tc>
        <w:tc>
          <w:tcPr>
            <w:tcW w:w="1077"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发证机关</w:t>
            </w:r>
          </w:p>
        </w:tc>
        <w:tc>
          <w:tcPr>
            <w:tcW w:w="1617"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编号</w:t>
            </w:r>
          </w:p>
        </w:tc>
        <w:tc>
          <w:tcPr>
            <w:tcW w:w="1618"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发证时间</w:t>
            </w:r>
          </w:p>
        </w:tc>
        <w:tc>
          <w:tcPr>
            <w:tcW w:w="933"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1355" w:type="dxa"/>
            <w:gridSpan w:val="2"/>
            <w:vMerge w:val="continue"/>
            <w:shd w:val="clear" w:color="auto" w:fill="auto"/>
            <w:vAlign w:val="center"/>
          </w:tcPr>
          <w:p>
            <w:pPr>
              <w:jc w:val="center"/>
              <w:rPr>
                <w:rFonts w:ascii="宋体" w:hAnsi="宋体" w:cs="宋体"/>
                <w:color w:val="auto"/>
                <w:sz w:val="24"/>
                <w:highlight w:val="none"/>
              </w:rPr>
            </w:pPr>
          </w:p>
        </w:tc>
        <w:tc>
          <w:tcPr>
            <w:tcW w:w="1333" w:type="dxa"/>
            <w:gridSpan w:val="3"/>
            <w:shd w:val="clear" w:color="auto" w:fill="auto"/>
            <w:vAlign w:val="center"/>
          </w:tcPr>
          <w:p>
            <w:pPr>
              <w:jc w:val="center"/>
              <w:rPr>
                <w:rFonts w:ascii="宋体" w:hAnsi="宋体" w:cs="宋体"/>
                <w:color w:val="auto"/>
                <w:sz w:val="24"/>
                <w:highlight w:val="none"/>
              </w:rPr>
            </w:pPr>
          </w:p>
        </w:tc>
        <w:tc>
          <w:tcPr>
            <w:tcW w:w="1077" w:type="dxa"/>
            <w:shd w:val="clear" w:color="auto" w:fill="auto"/>
            <w:vAlign w:val="center"/>
          </w:tcPr>
          <w:p>
            <w:pPr>
              <w:jc w:val="center"/>
              <w:rPr>
                <w:rFonts w:ascii="宋体" w:hAnsi="宋体" w:cs="宋体"/>
                <w:color w:val="auto"/>
                <w:sz w:val="24"/>
                <w:highlight w:val="none"/>
              </w:rPr>
            </w:pPr>
          </w:p>
        </w:tc>
        <w:tc>
          <w:tcPr>
            <w:tcW w:w="1617" w:type="dxa"/>
            <w:gridSpan w:val="2"/>
            <w:shd w:val="clear" w:color="auto" w:fill="auto"/>
            <w:vAlign w:val="center"/>
          </w:tcPr>
          <w:p>
            <w:pPr>
              <w:jc w:val="center"/>
              <w:rPr>
                <w:rFonts w:ascii="宋体" w:hAnsi="宋体" w:cs="宋体"/>
                <w:color w:val="auto"/>
                <w:sz w:val="24"/>
                <w:highlight w:val="none"/>
              </w:rPr>
            </w:pPr>
          </w:p>
        </w:tc>
        <w:tc>
          <w:tcPr>
            <w:tcW w:w="2551" w:type="dxa"/>
            <w:gridSpan w:val="2"/>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1355"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企业通过质量体系、环保体系、计量等认证情况</w:t>
            </w:r>
          </w:p>
        </w:tc>
        <w:tc>
          <w:tcPr>
            <w:tcW w:w="6578" w:type="dxa"/>
            <w:gridSpan w:val="8"/>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1355"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企业获得专利情况</w:t>
            </w:r>
          </w:p>
        </w:tc>
        <w:tc>
          <w:tcPr>
            <w:tcW w:w="6578" w:type="dxa"/>
            <w:gridSpan w:val="8"/>
            <w:shd w:val="clear" w:color="auto" w:fill="auto"/>
            <w:vAlign w:val="center"/>
          </w:tcPr>
          <w:p>
            <w:pPr>
              <w:jc w:val="center"/>
              <w:rPr>
                <w:rFonts w:ascii="宋体" w:hAnsi="宋体" w:cs="宋体"/>
                <w:color w:val="auto"/>
                <w:sz w:val="24"/>
                <w:highlight w:val="none"/>
              </w:rPr>
            </w:pPr>
          </w:p>
        </w:tc>
      </w:tr>
    </w:tbl>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b/>
          <w:bCs/>
          <w:color w:val="auto"/>
          <w:sz w:val="24"/>
          <w:szCs w:val="32"/>
          <w:highlight w:val="none"/>
        </w:rPr>
        <w:t>要求：</w:t>
      </w: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outlineLvl w:val="0"/>
        <w:rPr>
          <w:rFonts w:ascii="宋体" w:hAnsi="宋体" w:cs="宋体"/>
          <w:b/>
          <w:color w:val="auto"/>
          <w:sz w:val="28"/>
          <w:highlight w:val="none"/>
        </w:rPr>
      </w:pPr>
      <w:bookmarkStart w:id="67" w:name="_Toc31215"/>
      <w:bookmarkStart w:id="68" w:name="_Toc19940"/>
    </w:p>
    <w:p>
      <w:pPr>
        <w:spacing w:line="360" w:lineRule="auto"/>
        <w:outlineLvl w:val="0"/>
        <w:rPr>
          <w:rFonts w:ascii="宋体" w:hAnsi="宋体" w:cs="宋体"/>
          <w:color w:val="auto"/>
          <w:sz w:val="24"/>
          <w:highlight w:val="none"/>
        </w:rPr>
      </w:pPr>
      <w:r>
        <w:rPr>
          <w:rFonts w:hint="eastAsia" w:ascii="宋体" w:hAnsi="宋体" w:cs="宋体"/>
          <w:b/>
          <w:color w:val="auto"/>
          <w:sz w:val="28"/>
          <w:highlight w:val="none"/>
        </w:rPr>
        <w:t>附件6</w:t>
      </w:r>
      <w:bookmarkEnd w:id="67"/>
      <w:bookmarkEnd w:id="68"/>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6"/>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outlineLvl w:val="0"/>
        <w:rPr>
          <w:rFonts w:hint="eastAsia" w:ascii="宋体" w:hAnsi="宋体" w:cs="宋体"/>
          <w:b/>
          <w:color w:val="auto"/>
          <w:sz w:val="28"/>
          <w:highlight w:val="none"/>
        </w:rPr>
      </w:pPr>
      <w:bookmarkStart w:id="69" w:name="_Toc22076"/>
      <w:bookmarkStart w:id="70" w:name="_Toc15412"/>
    </w:p>
    <w:p>
      <w:pPr>
        <w:spacing w:line="360" w:lineRule="auto"/>
        <w:outlineLvl w:val="0"/>
        <w:rPr>
          <w:rFonts w:hint="eastAsia" w:ascii="宋体" w:hAnsi="宋体" w:cs="宋体"/>
          <w:b/>
          <w:color w:val="auto"/>
          <w:sz w:val="28"/>
          <w:highlight w:val="none"/>
        </w:rPr>
      </w:pPr>
    </w:p>
    <w:p>
      <w:pPr>
        <w:spacing w:line="360" w:lineRule="auto"/>
        <w:outlineLvl w:val="0"/>
        <w:rPr>
          <w:rFonts w:ascii="宋体" w:hAnsi="宋体" w:cs="宋体"/>
          <w:b/>
          <w:color w:val="auto"/>
          <w:sz w:val="28"/>
          <w:highlight w:val="none"/>
        </w:rPr>
      </w:pPr>
      <w:r>
        <w:rPr>
          <w:rFonts w:hint="eastAsia" w:ascii="宋体" w:hAnsi="宋体" w:cs="宋体"/>
          <w:b/>
          <w:color w:val="auto"/>
          <w:sz w:val="28"/>
          <w:highlight w:val="none"/>
        </w:rPr>
        <w:t>附件7</w:t>
      </w:r>
      <w:bookmarkEnd w:id="69"/>
      <w:bookmarkEnd w:id="70"/>
    </w:p>
    <w:p>
      <w:pPr>
        <w:spacing w:before="156" w:beforeLines="50" w:after="156"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6"/>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480" w:lineRule="exact"/>
        <w:jc w:val="left"/>
        <w:outlineLvl w:val="0"/>
        <w:rPr>
          <w:rFonts w:ascii="宋体" w:hAnsi="宋体" w:cs="宋体"/>
          <w:b/>
          <w:bCs/>
          <w:color w:val="auto"/>
          <w:sz w:val="28"/>
          <w:szCs w:val="36"/>
          <w:highlight w:val="none"/>
        </w:rPr>
      </w:pPr>
      <w:bookmarkStart w:id="71" w:name="_Toc16779"/>
      <w:bookmarkStart w:id="72" w:name="_Toc9916"/>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8</w:t>
      </w:r>
      <w:bookmarkEnd w:id="71"/>
      <w:bookmarkEnd w:id="72"/>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拟投入设备配置清单</w:t>
      </w:r>
    </w:p>
    <w:p>
      <w:pPr>
        <w:spacing w:line="480" w:lineRule="auto"/>
        <w:rPr>
          <w:rFonts w:ascii="宋体" w:hAnsi="宋体" w:cs="宋体"/>
          <w:color w:val="auto"/>
          <w:sz w:val="24"/>
          <w:highlight w:val="none"/>
        </w:rPr>
      </w:pPr>
      <w:r>
        <w:rPr>
          <w:rFonts w:hint="eastAsia" w:ascii="宋体" w:hAnsi="宋体" w:cs="宋体"/>
          <w:color w:val="auto"/>
          <w:sz w:val="24"/>
          <w:highlight w:val="none"/>
        </w:rPr>
        <w:t>项目编号：</w:t>
      </w:r>
    </w:p>
    <w:tbl>
      <w:tblPr>
        <w:tblStyle w:val="26"/>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outlineLvl w:val="0"/>
        <w:rPr>
          <w:rFonts w:ascii="宋体" w:hAnsi="宋体" w:cs="宋体"/>
          <w:b/>
          <w:bCs/>
          <w:color w:val="auto"/>
          <w:sz w:val="28"/>
          <w:szCs w:val="36"/>
          <w:highlight w:val="none"/>
        </w:rPr>
      </w:pPr>
      <w:bookmarkStart w:id="73" w:name="_Toc5432"/>
      <w:bookmarkStart w:id="74" w:name="_Toc2015"/>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9</w:t>
      </w:r>
      <w:bookmarkEnd w:id="73"/>
      <w:bookmarkEnd w:id="74"/>
    </w:p>
    <w:p>
      <w:pP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pacing w:line="360" w:lineRule="auto"/>
        <w:rPr>
          <w:rFonts w:ascii="宋体" w:hAnsi="宋体" w:cs="宋体"/>
          <w:color w:val="auto"/>
          <w:sz w:val="24"/>
          <w:highlight w:val="none"/>
        </w:rPr>
      </w:pPr>
    </w:p>
    <w:tbl>
      <w:tblPr>
        <w:tblStyle w:val="26"/>
        <w:tblW w:w="8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752"/>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23"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752"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1560"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招标参数</w:t>
            </w:r>
          </w:p>
        </w:tc>
        <w:tc>
          <w:tcPr>
            <w:tcW w:w="1401"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投标参数</w:t>
            </w:r>
          </w:p>
        </w:tc>
        <w:tc>
          <w:tcPr>
            <w:tcW w:w="1365"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23" w:type="dxa"/>
            <w:vAlign w:val="center"/>
          </w:tcPr>
          <w:p>
            <w:pPr>
              <w:jc w:val="center"/>
              <w:rPr>
                <w:rFonts w:ascii="宋体" w:hAnsi="宋体" w:cs="宋体"/>
                <w:b/>
                <w:bCs/>
                <w:color w:val="auto"/>
                <w:sz w:val="24"/>
                <w:highlight w:val="none"/>
              </w:rPr>
            </w:pPr>
          </w:p>
        </w:tc>
        <w:tc>
          <w:tcPr>
            <w:tcW w:w="2752" w:type="dxa"/>
            <w:vAlign w:val="center"/>
          </w:tcPr>
          <w:p>
            <w:pPr>
              <w:jc w:val="center"/>
              <w:rPr>
                <w:rFonts w:ascii="宋体" w:hAnsi="宋体" w:cs="宋体"/>
                <w:b/>
                <w:bCs/>
                <w:color w:val="auto"/>
                <w:sz w:val="24"/>
                <w:highlight w:val="none"/>
              </w:rPr>
            </w:pPr>
          </w:p>
        </w:tc>
        <w:tc>
          <w:tcPr>
            <w:tcW w:w="1560" w:type="dxa"/>
            <w:vAlign w:val="center"/>
          </w:tcPr>
          <w:p>
            <w:pPr>
              <w:jc w:val="center"/>
              <w:rPr>
                <w:rFonts w:ascii="宋体" w:hAnsi="宋体" w:cs="宋体"/>
                <w:b/>
                <w:bCs/>
                <w:color w:val="auto"/>
                <w:sz w:val="24"/>
                <w:highlight w:val="none"/>
              </w:rPr>
            </w:pPr>
          </w:p>
        </w:tc>
        <w:tc>
          <w:tcPr>
            <w:tcW w:w="1401" w:type="dxa"/>
            <w:vAlign w:val="center"/>
          </w:tcPr>
          <w:p>
            <w:pPr>
              <w:jc w:val="center"/>
              <w:rPr>
                <w:rFonts w:ascii="宋体" w:hAnsi="宋体" w:cs="宋体"/>
                <w:b/>
                <w:bCs/>
                <w:color w:val="auto"/>
                <w:sz w:val="24"/>
                <w:highlight w:val="none"/>
              </w:rPr>
            </w:pPr>
          </w:p>
        </w:tc>
        <w:tc>
          <w:tcPr>
            <w:tcW w:w="1365" w:type="dxa"/>
            <w:vAlign w:val="center"/>
          </w:tcPr>
          <w:p>
            <w:pPr>
              <w:jc w:val="center"/>
              <w:rPr>
                <w:rFonts w:ascii="宋体" w:hAnsi="宋体" w:cs="宋体"/>
                <w:b/>
                <w:bCs/>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1.本表参照本招标文件“第四章 公开招标需求”内容填制，对照招标文件要求在“偏离情况”栏注明“正偏离”、“负偏离”或“无偏离”。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outlineLvl w:val="0"/>
        <w:rPr>
          <w:rFonts w:ascii="宋体" w:hAnsi="宋体" w:cs="宋体"/>
          <w:b/>
          <w:bCs/>
          <w:color w:val="auto"/>
          <w:sz w:val="28"/>
          <w:szCs w:val="36"/>
          <w:highlight w:val="none"/>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75" w:name="_Toc7243"/>
      <w:bookmarkStart w:id="76" w:name="_Toc14652"/>
    </w:p>
    <w:p>
      <w:pPr>
        <w:spacing w:line="360" w:lineRule="auto"/>
        <w:jc w:val="left"/>
        <w:outlineLvl w:val="0"/>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10</w:t>
      </w:r>
      <w:bookmarkEnd w:id="75"/>
      <w:bookmarkEnd w:id="76"/>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line="360" w:lineRule="auto"/>
        <w:jc w:val="left"/>
        <w:rPr>
          <w:rFonts w:ascii="宋体" w:hAnsi="宋体" w:cs="宋体"/>
          <w:b/>
          <w:bCs/>
          <w:color w:val="auto"/>
          <w:sz w:val="24"/>
          <w:szCs w:val="32"/>
          <w:highlight w:val="none"/>
          <w:lang w:val="zh-CN"/>
        </w:rPr>
      </w:pP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5"/>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55"/>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55"/>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55"/>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5"/>
              <w:spacing w:line="360" w:lineRule="auto"/>
              <w:jc w:val="center"/>
              <w:rPr>
                <w:rFonts w:ascii="宋体" w:hAnsi="宋体" w:cs="宋体"/>
                <w:color w:val="auto"/>
                <w:szCs w:val="21"/>
                <w:highlight w:val="none"/>
              </w:rPr>
            </w:pPr>
          </w:p>
        </w:tc>
        <w:tc>
          <w:tcPr>
            <w:tcW w:w="2258" w:type="dxa"/>
          </w:tcPr>
          <w:p>
            <w:pPr>
              <w:pStyle w:val="55"/>
              <w:spacing w:line="360" w:lineRule="auto"/>
              <w:jc w:val="center"/>
              <w:rPr>
                <w:rFonts w:ascii="宋体" w:hAnsi="宋体" w:cs="宋体"/>
                <w:color w:val="auto"/>
                <w:szCs w:val="21"/>
                <w:highlight w:val="none"/>
              </w:rPr>
            </w:pPr>
          </w:p>
        </w:tc>
        <w:tc>
          <w:tcPr>
            <w:tcW w:w="2260" w:type="dxa"/>
          </w:tcPr>
          <w:p>
            <w:pPr>
              <w:pStyle w:val="55"/>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55"/>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5"/>
              <w:spacing w:line="360" w:lineRule="auto"/>
              <w:jc w:val="center"/>
              <w:rPr>
                <w:rFonts w:ascii="宋体" w:hAnsi="宋体" w:cs="宋体"/>
                <w:color w:val="auto"/>
                <w:szCs w:val="21"/>
                <w:highlight w:val="none"/>
              </w:rPr>
            </w:pPr>
          </w:p>
        </w:tc>
        <w:tc>
          <w:tcPr>
            <w:tcW w:w="2258" w:type="dxa"/>
          </w:tcPr>
          <w:p>
            <w:pPr>
              <w:pStyle w:val="55"/>
              <w:spacing w:line="360" w:lineRule="auto"/>
              <w:jc w:val="center"/>
              <w:rPr>
                <w:rFonts w:ascii="宋体" w:hAnsi="宋体" w:cs="宋体"/>
                <w:color w:val="auto"/>
                <w:szCs w:val="21"/>
                <w:highlight w:val="none"/>
              </w:rPr>
            </w:pPr>
          </w:p>
        </w:tc>
        <w:tc>
          <w:tcPr>
            <w:tcW w:w="2260" w:type="dxa"/>
          </w:tcPr>
          <w:p>
            <w:pPr>
              <w:pStyle w:val="55"/>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55"/>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5"/>
              <w:spacing w:line="360" w:lineRule="auto"/>
              <w:jc w:val="center"/>
              <w:rPr>
                <w:rFonts w:ascii="宋体" w:hAnsi="宋体" w:cs="宋体"/>
                <w:color w:val="auto"/>
                <w:szCs w:val="21"/>
                <w:highlight w:val="none"/>
              </w:rPr>
            </w:pPr>
          </w:p>
        </w:tc>
        <w:tc>
          <w:tcPr>
            <w:tcW w:w="2258" w:type="dxa"/>
          </w:tcPr>
          <w:p>
            <w:pPr>
              <w:pStyle w:val="55"/>
              <w:spacing w:line="360" w:lineRule="auto"/>
              <w:jc w:val="center"/>
              <w:rPr>
                <w:rFonts w:ascii="宋体" w:hAnsi="宋体" w:cs="宋体"/>
                <w:color w:val="auto"/>
                <w:szCs w:val="21"/>
                <w:highlight w:val="none"/>
              </w:rPr>
            </w:pPr>
          </w:p>
        </w:tc>
        <w:tc>
          <w:tcPr>
            <w:tcW w:w="2260" w:type="dxa"/>
          </w:tcPr>
          <w:p>
            <w:pPr>
              <w:pStyle w:val="55"/>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55"/>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5"/>
              <w:spacing w:line="360" w:lineRule="auto"/>
              <w:jc w:val="center"/>
              <w:rPr>
                <w:rFonts w:ascii="宋体" w:hAnsi="宋体" w:cs="宋体"/>
                <w:color w:val="auto"/>
                <w:szCs w:val="21"/>
                <w:highlight w:val="none"/>
              </w:rPr>
            </w:pPr>
          </w:p>
        </w:tc>
        <w:tc>
          <w:tcPr>
            <w:tcW w:w="2258" w:type="dxa"/>
          </w:tcPr>
          <w:p>
            <w:pPr>
              <w:pStyle w:val="55"/>
              <w:spacing w:line="360" w:lineRule="auto"/>
              <w:jc w:val="center"/>
              <w:rPr>
                <w:rFonts w:ascii="宋体" w:hAnsi="宋体" w:cs="宋体"/>
                <w:color w:val="auto"/>
                <w:szCs w:val="21"/>
                <w:highlight w:val="none"/>
              </w:rPr>
            </w:pPr>
          </w:p>
        </w:tc>
        <w:tc>
          <w:tcPr>
            <w:tcW w:w="2260" w:type="dxa"/>
          </w:tcPr>
          <w:p>
            <w:pPr>
              <w:pStyle w:val="55"/>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55"/>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5"/>
              <w:spacing w:line="360" w:lineRule="auto"/>
              <w:jc w:val="center"/>
              <w:rPr>
                <w:rFonts w:ascii="宋体" w:hAnsi="宋体" w:cs="宋体"/>
                <w:color w:val="auto"/>
                <w:szCs w:val="21"/>
                <w:highlight w:val="none"/>
              </w:rPr>
            </w:pPr>
          </w:p>
        </w:tc>
        <w:tc>
          <w:tcPr>
            <w:tcW w:w="2258" w:type="dxa"/>
          </w:tcPr>
          <w:p>
            <w:pPr>
              <w:pStyle w:val="55"/>
              <w:spacing w:line="360" w:lineRule="auto"/>
              <w:jc w:val="center"/>
              <w:rPr>
                <w:rFonts w:ascii="宋体" w:hAnsi="宋体" w:cs="宋体"/>
                <w:color w:val="auto"/>
                <w:szCs w:val="21"/>
                <w:highlight w:val="none"/>
              </w:rPr>
            </w:pPr>
          </w:p>
        </w:tc>
        <w:tc>
          <w:tcPr>
            <w:tcW w:w="2260" w:type="dxa"/>
          </w:tcPr>
          <w:p>
            <w:pPr>
              <w:pStyle w:val="55"/>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55"/>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5"/>
              <w:spacing w:line="360" w:lineRule="auto"/>
              <w:jc w:val="center"/>
              <w:rPr>
                <w:rFonts w:ascii="宋体" w:hAnsi="宋体" w:cs="宋体"/>
                <w:color w:val="auto"/>
                <w:szCs w:val="21"/>
                <w:highlight w:val="none"/>
              </w:rPr>
            </w:pPr>
          </w:p>
        </w:tc>
        <w:tc>
          <w:tcPr>
            <w:tcW w:w="2258" w:type="dxa"/>
          </w:tcPr>
          <w:p>
            <w:pPr>
              <w:pStyle w:val="55"/>
              <w:spacing w:line="360" w:lineRule="auto"/>
              <w:jc w:val="center"/>
              <w:rPr>
                <w:rFonts w:ascii="宋体" w:hAnsi="宋体" w:cs="宋体"/>
                <w:color w:val="auto"/>
                <w:szCs w:val="21"/>
                <w:highlight w:val="none"/>
              </w:rPr>
            </w:pPr>
          </w:p>
        </w:tc>
        <w:tc>
          <w:tcPr>
            <w:tcW w:w="2260" w:type="dxa"/>
          </w:tcPr>
          <w:p>
            <w:pPr>
              <w:pStyle w:val="55"/>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55"/>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5"/>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55"/>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55"/>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55"/>
              <w:spacing w:line="360" w:lineRule="auto"/>
              <w:jc w:val="center"/>
              <w:rPr>
                <w:rFonts w:ascii="宋体" w:hAnsi="宋体" w:cs="宋体"/>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jc w:val="left"/>
        <w:outlineLvl w:val="0"/>
        <w:rPr>
          <w:rFonts w:ascii="宋体" w:hAnsi="宋体" w:cs="宋体"/>
          <w:b/>
          <w:bCs/>
          <w:color w:val="auto"/>
          <w:sz w:val="28"/>
          <w:szCs w:val="36"/>
          <w:highlight w:val="none"/>
        </w:rPr>
      </w:pPr>
      <w:bookmarkStart w:id="77" w:name="_Toc10621"/>
      <w:bookmarkStart w:id="78" w:name="_Toc4215"/>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1</w:t>
      </w:r>
      <w:bookmarkEnd w:id="77"/>
      <w:bookmarkEnd w:id="78"/>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pacing w:line="360" w:lineRule="auto"/>
        <w:rPr>
          <w:rFonts w:ascii="宋体" w:hAnsi="宋体" w:cs="宋体"/>
          <w:b/>
          <w:bCs/>
          <w:color w:val="auto"/>
          <w:sz w:val="24"/>
          <w:highlight w:val="none"/>
        </w:rPr>
      </w:pPr>
    </w:p>
    <w:tbl>
      <w:tblPr>
        <w:tblStyle w:val="2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1.业绩证明应提供证明材料（合同及中标通知书原件扫描件，缺一不可，否则为无效业绩）；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jc w:val="left"/>
        <w:outlineLvl w:val="0"/>
        <w:rPr>
          <w:rFonts w:ascii="宋体" w:hAnsi="宋体" w:cs="宋体"/>
          <w:b/>
          <w:bCs/>
          <w:color w:val="auto"/>
          <w:sz w:val="28"/>
          <w:szCs w:val="36"/>
          <w:highlight w:val="none"/>
        </w:rPr>
      </w:pPr>
      <w:bookmarkStart w:id="79" w:name="_Toc19429"/>
      <w:bookmarkStart w:id="80" w:name="_Toc24692"/>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2</w:t>
      </w:r>
      <w:bookmarkEnd w:id="79"/>
      <w:bookmarkEnd w:id="80"/>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pacing w:line="360" w:lineRule="auto"/>
        <w:rPr>
          <w:rFonts w:ascii="宋体" w:hAnsi="宋体" w:cs="宋体"/>
          <w:b/>
          <w:color w:val="auto"/>
          <w:sz w:val="24"/>
          <w:highlight w:val="none"/>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bl>
    <w:p>
      <w:pPr>
        <w:spacing w:line="360" w:lineRule="auto"/>
        <w:rPr>
          <w:rFonts w:ascii="宋体" w:hAnsi="宋体" w:cs="宋体"/>
          <w:b/>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tabs>
          <w:tab w:val="left" w:pos="2460"/>
        </w:tabs>
        <w:spacing w:line="360" w:lineRule="auto"/>
        <w:outlineLvl w:val="0"/>
        <w:rPr>
          <w:rFonts w:ascii="宋体" w:hAnsi="宋体" w:cs="宋体"/>
          <w:b/>
          <w:color w:val="auto"/>
          <w:sz w:val="28"/>
          <w:highlight w:val="none"/>
        </w:rPr>
      </w:pPr>
      <w:bookmarkStart w:id="81" w:name="_Toc9756"/>
      <w:bookmarkStart w:id="82" w:name="_Toc30065"/>
      <w:r>
        <w:rPr>
          <w:rFonts w:hint="eastAsia" w:ascii="宋体" w:hAnsi="宋体" w:cs="宋体"/>
          <w:b/>
          <w:color w:val="auto"/>
          <w:sz w:val="28"/>
          <w:highlight w:val="none"/>
        </w:rPr>
        <w:t>附件13</w:t>
      </w:r>
      <w:bookmarkEnd w:id="81"/>
      <w:bookmarkEnd w:id="82"/>
    </w:p>
    <w:p>
      <w:pP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pacing w:line="360" w:lineRule="auto"/>
        <w:rPr>
          <w:rFonts w:ascii="宋体" w:hAnsi="宋体" w:cs="宋体"/>
          <w:b/>
          <w:color w:val="auto"/>
          <w:sz w:val="24"/>
          <w:highlight w:val="none"/>
        </w:rPr>
      </w:pP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6"/>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56"/>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56"/>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56"/>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6"/>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56"/>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56"/>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56"/>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6"/>
              <w:widowControl/>
              <w:spacing w:line="360" w:lineRule="auto"/>
              <w:jc w:val="left"/>
              <w:rPr>
                <w:rFonts w:ascii="宋体" w:hAnsi="宋体" w:cs="宋体"/>
                <w:bCs/>
                <w:color w:val="auto"/>
                <w:sz w:val="24"/>
                <w:highlight w:val="none"/>
              </w:rPr>
            </w:pPr>
          </w:p>
        </w:tc>
        <w:tc>
          <w:tcPr>
            <w:tcW w:w="2355" w:type="dxa"/>
            <w:vMerge w:val="continue"/>
            <w:vAlign w:val="center"/>
          </w:tcPr>
          <w:p>
            <w:pPr>
              <w:pStyle w:val="56"/>
              <w:widowControl/>
              <w:spacing w:line="360" w:lineRule="auto"/>
              <w:jc w:val="left"/>
              <w:rPr>
                <w:rFonts w:ascii="宋体" w:hAnsi="宋体" w:cs="宋体"/>
                <w:bCs/>
                <w:color w:val="auto"/>
                <w:sz w:val="24"/>
                <w:highlight w:val="none"/>
              </w:rPr>
            </w:pPr>
          </w:p>
        </w:tc>
        <w:tc>
          <w:tcPr>
            <w:tcW w:w="4061" w:type="dxa"/>
          </w:tcPr>
          <w:p>
            <w:pPr>
              <w:pStyle w:val="56"/>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56"/>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6"/>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56"/>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56"/>
              <w:widowControl/>
              <w:spacing w:line="360" w:lineRule="auto"/>
              <w:jc w:val="left"/>
              <w:rPr>
                <w:rFonts w:ascii="宋体" w:hAnsi="宋体" w:cs="宋体"/>
                <w:bCs/>
                <w:color w:val="auto"/>
                <w:sz w:val="24"/>
                <w:highlight w:val="none"/>
              </w:rPr>
            </w:pPr>
          </w:p>
          <w:p>
            <w:pPr>
              <w:pStyle w:val="56"/>
              <w:widowControl/>
              <w:spacing w:line="360" w:lineRule="auto"/>
              <w:jc w:val="left"/>
              <w:rPr>
                <w:rFonts w:ascii="宋体" w:hAnsi="宋体" w:cs="宋体"/>
                <w:bCs/>
                <w:color w:val="auto"/>
                <w:sz w:val="24"/>
                <w:highlight w:val="none"/>
              </w:rPr>
            </w:pPr>
          </w:p>
          <w:p>
            <w:pPr>
              <w:pStyle w:val="56"/>
              <w:spacing w:line="360" w:lineRule="auto"/>
              <w:rPr>
                <w:rFonts w:ascii="宋体" w:hAnsi="宋体" w:cs="宋体"/>
                <w:bCs/>
                <w:color w:val="auto"/>
                <w:sz w:val="24"/>
                <w:highlight w:val="none"/>
              </w:rPr>
            </w:pPr>
          </w:p>
        </w:tc>
        <w:tc>
          <w:tcPr>
            <w:tcW w:w="1373" w:type="dxa"/>
          </w:tcPr>
          <w:p>
            <w:pPr>
              <w:pStyle w:val="56"/>
              <w:widowControl/>
              <w:spacing w:line="360" w:lineRule="auto"/>
              <w:jc w:val="left"/>
              <w:rPr>
                <w:rFonts w:ascii="宋体" w:hAnsi="宋体" w:cs="宋体"/>
                <w:bCs/>
                <w:color w:val="auto"/>
                <w:sz w:val="24"/>
                <w:highlight w:val="none"/>
              </w:rPr>
            </w:pPr>
          </w:p>
          <w:p>
            <w:pPr>
              <w:pStyle w:val="56"/>
              <w:widowControl/>
              <w:spacing w:line="360" w:lineRule="auto"/>
              <w:jc w:val="left"/>
              <w:rPr>
                <w:rFonts w:ascii="宋体" w:hAnsi="宋体" w:cs="宋体"/>
                <w:bCs/>
                <w:color w:val="auto"/>
                <w:sz w:val="24"/>
                <w:highlight w:val="none"/>
              </w:rPr>
            </w:pPr>
          </w:p>
          <w:p>
            <w:pPr>
              <w:pStyle w:val="56"/>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6"/>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56"/>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56"/>
              <w:widowControl/>
              <w:spacing w:line="360" w:lineRule="auto"/>
              <w:jc w:val="left"/>
              <w:rPr>
                <w:rFonts w:ascii="宋体" w:hAnsi="宋体" w:cs="宋体"/>
                <w:bCs/>
                <w:i/>
                <w:color w:val="auto"/>
                <w:sz w:val="24"/>
                <w:highlight w:val="none"/>
              </w:rPr>
            </w:pPr>
          </w:p>
          <w:p>
            <w:pPr>
              <w:pStyle w:val="56"/>
              <w:widowControl/>
              <w:spacing w:line="360" w:lineRule="auto"/>
              <w:jc w:val="left"/>
              <w:rPr>
                <w:rFonts w:ascii="宋体" w:hAnsi="宋体" w:cs="宋体"/>
                <w:bCs/>
                <w:i/>
                <w:color w:val="auto"/>
                <w:sz w:val="24"/>
                <w:highlight w:val="none"/>
              </w:rPr>
            </w:pPr>
          </w:p>
        </w:tc>
        <w:tc>
          <w:tcPr>
            <w:tcW w:w="1373" w:type="dxa"/>
          </w:tcPr>
          <w:p>
            <w:pPr>
              <w:pStyle w:val="56"/>
              <w:widowControl/>
              <w:spacing w:line="360" w:lineRule="auto"/>
              <w:jc w:val="left"/>
              <w:rPr>
                <w:rFonts w:ascii="宋体" w:hAnsi="宋体" w:cs="宋体"/>
                <w:bCs/>
                <w:i/>
                <w:color w:val="auto"/>
                <w:sz w:val="24"/>
                <w:highlight w:val="none"/>
              </w:rPr>
            </w:pPr>
          </w:p>
          <w:p>
            <w:pPr>
              <w:pStyle w:val="56"/>
              <w:widowControl/>
              <w:spacing w:line="360" w:lineRule="auto"/>
              <w:jc w:val="left"/>
              <w:rPr>
                <w:rFonts w:ascii="宋体" w:hAnsi="宋体" w:cs="宋体"/>
                <w:bCs/>
                <w:i/>
                <w:color w:val="auto"/>
                <w:sz w:val="24"/>
                <w:highlight w:val="none"/>
              </w:rPr>
            </w:pPr>
          </w:p>
          <w:p>
            <w:pPr>
              <w:pStyle w:val="56"/>
              <w:widowControl/>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6"/>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56"/>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56"/>
              <w:widowControl/>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56"/>
              <w:widowControl/>
              <w:spacing w:line="360" w:lineRule="auto"/>
              <w:jc w:val="left"/>
              <w:rPr>
                <w:rFonts w:ascii="宋体" w:hAnsi="宋体" w:cs="宋体"/>
                <w:bCs/>
                <w:color w:val="auto"/>
                <w:sz w:val="24"/>
                <w:highlight w:val="none"/>
              </w:rPr>
            </w:pPr>
          </w:p>
        </w:tc>
      </w:tr>
    </w:tbl>
    <w:p>
      <w:pPr>
        <w:spacing w:line="360" w:lineRule="auto"/>
        <w:ind w:left="549" w:hanging="549" w:hangingChars="171"/>
        <w:jc w:val="center"/>
        <w:rPr>
          <w:rFonts w:ascii="宋体" w:hAnsi="宋体" w:cs="宋体"/>
          <w:b/>
          <w:color w:val="auto"/>
          <w:sz w:val="32"/>
          <w:szCs w:val="32"/>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outlineLvl w:val="0"/>
        <w:rPr>
          <w:rFonts w:ascii="宋体" w:hAnsi="宋体" w:cs="宋体"/>
          <w:b/>
          <w:bCs/>
          <w:color w:val="auto"/>
          <w:sz w:val="28"/>
          <w:szCs w:val="36"/>
          <w:highlight w:val="none"/>
        </w:rPr>
      </w:pPr>
      <w:bookmarkStart w:id="83" w:name="_Toc17132"/>
      <w:bookmarkStart w:id="84" w:name="_Toc18363"/>
      <w:r>
        <w:rPr>
          <w:rFonts w:hint="eastAsia" w:ascii="宋体" w:hAnsi="宋体" w:cs="宋体"/>
          <w:b/>
          <w:bCs/>
          <w:color w:val="auto"/>
          <w:sz w:val="28"/>
          <w:szCs w:val="36"/>
          <w:highlight w:val="none"/>
        </w:rPr>
        <w:t>附件14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83"/>
      <w:bookmarkEnd w:id="84"/>
    </w:p>
    <w:p>
      <w:pP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jc w:val="center"/>
        <w:rPr>
          <w:rFonts w:ascii="宋体" w:hAnsi="宋体" w:cs="宋体"/>
          <w:b/>
          <w:color w:val="auto"/>
          <w:spacing w:val="40"/>
          <w:sz w:val="84"/>
          <w:szCs w:val="84"/>
          <w:highlight w:val="none"/>
        </w:rPr>
      </w:pP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jc w:val="center"/>
        <w:rPr>
          <w:rFonts w:ascii="宋体" w:hAnsi="宋体" w:cs="宋体"/>
          <w:color w:val="auto"/>
          <w:sz w:val="36"/>
          <w:szCs w:val="36"/>
          <w:highlight w:val="none"/>
        </w:rPr>
      </w:pPr>
    </w:p>
    <w:p>
      <w:pPr>
        <w:jc w:val="center"/>
        <w:rPr>
          <w:rFonts w:ascii="宋体" w:hAnsi="宋体" w:cs="宋体"/>
          <w:color w:val="auto"/>
          <w:sz w:val="36"/>
          <w:szCs w:val="36"/>
          <w:highlight w:val="none"/>
        </w:rPr>
      </w:pPr>
    </w:p>
    <w:p>
      <w:pPr>
        <w:spacing w:line="360" w:lineRule="auto"/>
        <w:ind w:right="532"/>
        <w:jc w:val="center"/>
        <w:rPr>
          <w:rFonts w:ascii="宋体" w:hAnsi="宋体" w:cs="宋体"/>
          <w:color w:val="auto"/>
          <w:sz w:val="36"/>
          <w:szCs w:val="36"/>
          <w:highlight w:val="none"/>
        </w:rPr>
      </w:pPr>
    </w:p>
    <w:p>
      <w:pP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rPr>
          <w:rFonts w:ascii="宋体" w:hAnsi="宋体" w:cs="宋体"/>
          <w:color w:val="auto"/>
          <w:sz w:val="36"/>
          <w:szCs w:val="36"/>
          <w:highlight w:val="none"/>
        </w:rPr>
      </w:pPr>
      <w:r>
        <w:rPr>
          <w:rFonts w:hint="eastAsia" w:ascii="宋体" w:hAnsi="宋体" w:cs="宋体"/>
          <w:color w:val="auto"/>
          <w:sz w:val="36"/>
          <w:szCs w:val="36"/>
          <w:highlight w:val="none"/>
        </w:rPr>
        <w:t>地址：</w:t>
      </w:r>
    </w:p>
    <w:p>
      <w:pPr>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line="360" w:lineRule="auto"/>
        <w:rPr>
          <w:rFonts w:ascii="宋体" w:hAnsi="宋体" w:cs="宋体"/>
          <w:color w:val="auto"/>
          <w:sz w:val="24"/>
          <w:highlight w:val="none"/>
        </w:rPr>
      </w:pP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1、开标一览表（附件15）；</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2、报价明细表（附件16）；</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3</w:t>
      </w:r>
      <w:r>
        <w:rPr>
          <w:rFonts w:hint="eastAsia" w:ascii="宋体" w:hAnsi="宋体" w:cs="宋体"/>
          <w:color w:val="auto"/>
          <w:sz w:val="28"/>
          <w:szCs w:val="36"/>
          <w:highlight w:val="none"/>
        </w:rPr>
        <w:t>、针对报价投标人认为其他需要说明的；</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4</w:t>
      </w:r>
      <w:r>
        <w:rPr>
          <w:rFonts w:hint="eastAsia" w:ascii="宋体" w:hAnsi="宋体" w:cs="宋体"/>
          <w:color w:val="auto"/>
          <w:sz w:val="28"/>
          <w:szCs w:val="36"/>
          <w:highlight w:val="none"/>
        </w:rPr>
        <w:t>、中小企业等声明函（附件17）；</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outlineLvl w:val="0"/>
        <w:rPr>
          <w:rFonts w:hint="eastAsia" w:ascii="宋体" w:hAnsi="宋体" w:cs="宋体"/>
          <w:b/>
          <w:color w:val="auto"/>
          <w:sz w:val="28"/>
          <w:highlight w:val="none"/>
        </w:rPr>
      </w:pPr>
      <w:bookmarkStart w:id="85" w:name="_Toc31938"/>
      <w:bookmarkStart w:id="86" w:name="_Toc23246"/>
    </w:p>
    <w:p>
      <w:pPr>
        <w:spacing w:line="360" w:lineRule="auto"/>
        <w:outlineLvl w:val="0"/>
        <w:rPr>
          <w:rFonts w:ascii="宋体" w:hAnsi="宋体" w:cs="宋体"/>
          <w:b/>
          <w:color w:val="auto"/>
          <w:sz w:val="28"/>
          <w:highlight w:val="none"/>
        </w:rPr>
      </w:pPr>
      <w:r>
        <w:rPr>
          <w:rFonts w:hint="eastAsia" w:ascii="宋体" w:hAnsi="宋体" w:cs="宋体"/>
          <w:b/>
          <w:color w:val="auto"/>
          <w:sz w:val="28"/>
          <w:highlight w:val="none"/>
        </w:rPr>
        <w:t>附件15</w:t>
      </w:r>
      <w:bookmarkEnd w:id="85"/>
      <w:bookmarkEnd w:id="86"/>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pacing w:line="360" w:lineRule="auto"/>
        <w:ind w:left="-2" w:hanging="2"/>
        <w:jc w:val="center"/>
        <w:rPr>
          <w:rFonts w:ascii="宋体" w:hAnsi="宋体" w:cs="宋体"/>
          <w:b/>
          <w:color w:val="auto"/>
          <w:sz w:val="32"/>
          <w:szCs w:val="32"/>
          <w:highlight w:val="none"/>
        </w:rPr>
      </w:pPr>
    </w:p>
    <w:p>
      <w:pPr>
        <w:pStyle w:val="13"/>
        <w:spacing w:line="360" w:lineRule="auto"/>
        <w:rPr>
          <w:rFonts w:hAnsi="宋体" w:cs="宋体"/>
          <w:b/>
          <w:color w:val="auto"/>
          <w:sz w:val="24"/>
          <w:highlight w:val="none"/>
        </w:rPr>
      </w:pPr>
      <w:r>
        <w:rPr>
          <w:rFonts w:hint="eastAsia" w:hAnsi="宋体" w:cs="宋体"/>
          <w:b/>
          <w:color w:val="auto"/>
          <w:sz w:val="24"/>
          <w:highlight w:val="none"/>
        </w:rPr>
        <w:t>项目编号：</w:t>
      </w:r>
    </w:p>
    <w:p>
      <w:pPr>
        <w:pStyle w:val="60"/>
        <w:spacing w:line="360" w:lineRule="auto"/>
        <w:ind w:right="480"/>
        <w:jc w:val="left"/>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 xml:space="preserve">                                    </w:t>
      </w:r>
    </w:p>
    <w:tbl>
      <w:tblPr>
        <w:tblStyle w:val="26"/>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highlight w:val="none"/>
              </w:rPr>
            </w:pPr>
            <w:r>
              <w:rPr>
                <w:rFonts w:hint="eastAsia" w:ascii="宋体" w:hAnsi="宋体" w:cs="宋体"/>
                <w:color w:val="auto"/>
                <w:sz w:val="24"/>
                <w:szCs w:val="24"/>
                <w:highlight w:val="none"/>
              </w:rPr>
              <w:t>投标折扣率</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highlight w:val="none"/>
              </w:rPr>
            </w:pPr>
            <w:r>
              <w:rPr>
                <w:rFonts w:hint="eastAsia" w:ascii="宋体" w:hAnsi="宋体" w:cs="宋体"/>
                <w:color w:val="auto"/>
                <w:sz w:val="24"/>
                <w:szCs w:val="24"/>
                <w:highlight w:val="none"/>
              </w:rPr>
              <w:t>大写</w:t>
            </w:r>
          </w:p>
        </w:tc>
        <w:tc>
          <w:tcPr>
            <w:tcW w:w="4629" w:type="dxa"/>
            <w:tcBorders>
              <w:top w:val="single" w:color="auto" w:sz="12" w:space="0"/>
              <w:left w:val="single" w:color="auto" w:sz="4" w:space="0"/>
              <w:bottom w:val="single" w:color="auto" w:sz="4" w:space="0"/>
            </w:tcBorders>
            <w:vAlign w:val="center"/>
          </w:tcPr>
          <w:p>
            <w:pPr>
              <w:autoSpaceDE w:val="0"/>
              <w:autoSpaceDN w:val="0"/>
              <w:spacing w:line="450" w:lineRule="exact"/>
              <w:jc w:val="center"/>
              <w:textAlignment w:val="bottom"/>
              <w:rPr>
                <w:rFonts w:ascii="宋体"/>
                <w:color w:val="auto"/>
                <w:sz w:val="24"/>
                <w:szCs w:val="24"/>
                <w:highlight w:val="none"/>
              </w:rPr>
            </w:pPr>
            <w:r>
              <w:rPr>
                <w:rFonts w:ascii="宋体" w:hAnsi="宋体" w:cs="宋体"/>
                <w:color w:val="000000" w:themeColor="text1"/>
                <w:kern w:val="0"/>
                <w:sz w:val="24"/>
                <w:szCs w:val="24"/>
                <w:highlight w:val="none"/>
                <w:u w:val="single"/>
                <w14:textFill>
                  <w14:solidFill>
                    <w14:schemeClr w14:val="tx1"/>
                  </w14:solidFill>
                </w14:textFill>
              </w:rPr>
              <w:t xml:space="preserve">      </w:t>
            </w:r>
            <w:r>
              <w:rPr>
                <w:rFonts w:ascii="宋体" w:hAnsi="宋体" w:cs="宋体"/>
                <w:color w:val="000000" w:themeColor="text1"/>
                <w:kern w:val="0"/>
                <w:sz w:val="24"/>
                <w:szCs w:val="24"/>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bottom w:val="single" w:color="auto" w:sz="4" w:space="0"/>
              <w:right w:val="single" w:color="auto" w:sz="4" w:space="0"/>
            </w:tcBorders>
            <w:vAlign w:val="center"/>
          </w:tcPr>
          <w:p>
            <w:pPr>
              <w:rPr>
                <w:rFonts w:ascii="宋体"/>
                <w:color w:val="auto"/>
                <w:sz w:val="24"/>
                <w:szCs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olor w:val="auto"/>
                <w:sz w:val="24"/>
                <w:szCs w:val="24"/>
                <w:highlight w:val="none"/>
              </w:rPr>
            </w:pPr>
            <w:r>
              <w:rPr>
                <w:rFonts w:hint="eastAsia" w:ascii="宋体" w:hAnsi="宋体" w:cs="宋体"/>
                <w:color w:val="auto"/>
                <w:sz w:val="24"/>
                <w:szCs w:val="24"/>
                <w:highlight w:val="none"/>
              </w:rPr>
              <w:t>小写</w:t>
            </w:r>
          </w:p>
        </w:tc>
        <w:tc>
          <w:tcPr>
            <w:tcW w:w="4629" w:type="dxa"/>
            <w:tcBorders>
              <w:top w:val="single" w:color="auto" w:sz="4" w:space="0"/>
              <w:left w:val="single" w:color="auto" w:sz="4" w:space="0"/>
              <w:bottom w:val="single" w:color="auto" w:sz="4" w:space="0"/>
            </w:tcBorders>
            <w:vAlign w:val="center"/>
          </w:tcPr>
          <w:p>
            <w:pPr>
              <w:autoSpaceDE w:val="0"/>
              <w:autoSpaceDN w:val="0"/>
              <w:spacing w:line="450" w:lineRule="exact"/>
              <w:jc w:val="center"/>
              <w:textAlignment w:val="bottom"/>
              <w:rPr>
                <w:rFonts w:ascii="宋体"/>
                <w:color w:val="auto"/>
                <w:sz w:val="24"/>
                <w:szCs w:val="24"/>
                <w:highlight w:val="none"/>
              </w:rPr>
            </w:pPr>
            <w:r>
              <w:rPr>
                <w:rFonts w:ascii="宋体" w:hAnsi="宋体" w:cs="宋体"/>
                <w:color w:val="auto"/>
                <w:kern w:val="0"/>
                <w:sz w:val="24"/>
                <w:szCs w:val="24"/>
                <w:highlight w:val="none"/>
                <w:u w:val="single"/>
              </w:rPr>
              <w:t xml:space="preserve">      </w:t>
            </w:r>
            <w:r>
              <w:rPr>
                <w:rFonts w:ascii="宋体" w:hAnsi="宋体" w:cs="宋体"/>
                <w:color w:val="auto"/>
                <w:kern w:val="0"/>
                <w:sz w:val="24"/>
                <w:szCs w:val="24"/>
                <w:highlight w:val="none"/>
              </w:rPr>
              <w:t>%</w:t>
            </w:r>
          </w:p>
        </w:tc>
      </w:tr>
    </w:tbl>
    <w:p>
      <w:pPr>
        <w:spacing w:line="360" w:lineRule="auto"/>
        <w:ind w:left="480"/>
        <w:rPr>
          <w:rFonts w:ascii="宋体" w:hAnsi="宋体" w:cs="宋体"/>
          <w:b/>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填报要求：</w:t>
      </w:r>
    </w:p>
    <w:p>
      <w:pPr>
        <w:pStyle w:val="7"/>
        <w:shd w:val="clear"/>
        <w:spacing w:line="360" w:lineRule="auto"/>
        <w:ind w:firstLine="480" w:firstLineChars="200"/>
        <w:rPr>
          <w:rFonts w:hint="default" w:ascii="宋体" w:hAnsi="宋体" w:cs="宋体"/>
          <w:color w:val="000000" w:themeColor="text1"/>
          <w:kern w:val="0"/>
          <w:sz w:val="24"/>
          <w:highlight w:val="none"/>
          <w:lang w:val="en-US"/>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1.</w:t>
      </w:r>
      <w:r>
        <w:rPr>
          <w:rFonts w:hint="eastAsia" w:ascii="宋体" w:hAnsi="宋体" w:cs="宋体"/>
          <w:color w:val="000000" w:themeColor="text1"/>
          <w:kern w:val="0"/>
          <w:sz w:val="24"/>
          <w:szCs w:val="24"/>
          <w:highlight w:val="none"/>
          <w:lang w:val="en-US" w:eastAsia="zh-CN"/>
          <w14:textFill>
            <w14:solidFill>
              <w14:schemeClr w14:val="tx1"/>
            </w14:solidFill>
          </w14:textFill>
        </w:rPr>
        <w:t>本项目按图书码洋的折扣率报价，</w:t>
      </w:r>
      <w:r>
        <w:rPr>
          <w:rFonts w:hint="eastAsia" w:ascii="宋体" w:hAnsi="宋体" w:cs="宋体"/>
          <w:color w:val="000000" w:themeColor="text1"/>
          <w:kern w:val="0"/>
          <w:sz w:val="24"/>
          <w:highlight w:val="none"/>
          <w14:textFill>
            <w14:solidFill>
              <w14:schemeClr w14:val="tx1"/>
            </w14:solidFill>
          </w14:textFill>
        </w:rPr>
        <w:t>最高折扣限制为7</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（保留小数点后两位）。</w:t>
      </w:r>
    </w:p>
    <w:p>
      <w:pPr>
        <w:pStyle w:val="7"/>
        <w:shd w:val="clear"/>
        <w:spacing w:line="360" w:lineRule="auto"/>
        <w:ind w:firstLineChars="200"/>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14:textFill>
            <w14:solidFill>
              <w14:schemeClr w14:val="tx1"/>
            </w14:solidFill>
          </w14:textFill>
        </w:rPr>
        <w:t>货物实际购买价含货物的一切费用及后期处理和加工的费用。</w:t>
      </w:r>
    </w:p>
    <w:p>
      <w:pPr>
        <w:shd w:val="clear"/>
        <w:spacing w:line="360" w:lineRule="auto"/>
        <w:ind w:firstLine="480" w:firstLineChars="200"/>
        <w:rPr>
          <w:rFonts w:ascii="宋体" w:hAnsi="宋体" w:cs="宋体"/>
          <w:b/>
          <w:i/>
          <w:color w:val="000000" w:themeColor="text1"/>
          <w:sz w:val="24"/>
          <w:highlight w:val="none"/>
          <w:u w:val="singl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.报价一经涂改，应在涂改处加盖单位公章，或者由法定代表人或全权代表签字或盖章，否则其投标作无效标处理。</w:t>
      </w:r>
    </w:p>
    <w:p>
      <w:pPr>
        <w:spacing w:line="360" w:lineRule="auto"/>
        <w:rPr>
          <w:rFonts w:ascii="宋体" w:hAnsi="宋体" w:cs="宋体"/>
          <w:color w:val="000000" w:themeColor="text1"/>
          <w:sz w:val="24"/>
          <w:highlight w:val="none"/>
          <w14:textFill>
            <w14:solidFill>
              <w14:schemeClr w14:val="tx1"/>
            </w14:solidFill>
          </w14:textFill>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pStyle w:val="9"/>
        <w:rPr>
          <w:rFonts w:ascii="宋体" w:hAnsi="宋体" w:cs="宋体"/>
          <w:color w:val="auto"/>
          <w:szCs w:val="32"/>
          <w:highlight w:val="none"/>
        </w:rPr>
      </w:pPr>
    </w:p>
    <w:p>
      <w:pPr>
        <w:pStyle w:val="18"/>
        <w:rPr>
          <w:rFonts w:ascii="宋体" w:hAnsi="宋体" w:cs="宋体"/>
          <w:color w:val="auto"/>
          <w:highlight w:val="none"/>
        </w:rPr>
      </w:pPr>
    </w:p>
    <w:p>
      <w:pPr>
        <w:spacing w:line="360" w:lineRule="auto"/>
        <w:outlineLvl w:val="0"/>
        <w:rPr>
          <w:rFonts w:ascii="宋体" w:hAnsi="宋体" w:cs="宋体"/>
          <w:b/>
          <w:color w:val="auto"/>
          <w:sz w:val="28"/>
          <w:highlight w:val="none"/>
        </w:rPr>
      </w:pPr>
      <w:bookmarkStart w:id="87" w:name="_Toc24869"/>
      <w:bookmarkStart w:id="88" w:name="_Toc20462"/>
      <w:r>
        <w:rPr>
          <w:rFonts w:hint="eastAsia" w:ascii="宋体" w:hAnsi="宋体" w:cs="宋体"/>
          <w:b/>
          <w:color w:val="auto"/>
          <w:sz w:val="28"/>
          <w:highlight w:val="none"/>
        </w:rPr>
        <w:t>附件16</w:t>
      </w:r>
      <w:bookmarkEnd w:id="87"/>
      <w:bookmarkEnd w:id="88"/>
    </w:p>
    <w:p>
      <w:pPr>
        <w:spacing w:line="500" w:lineRule="exact"/>
        <w:ind w:firstLine="2088" w:firstLineChars="650"/>
        <w:jc w:val="left"/>
        <w:rPr>
          <w:rFonts w:ascii="宋体"/>
          <w:color w:val="auto"/>
          <w:highlight w:val="none"/>
        </w:rPr>
      </w:pPr>
      <w:r>
        <w:rPr>
          <w:rFonts w:hint="eastAsia" w:ascii="宋体" w:hAnsi="宋体" w:cs="宋体"/>
          <w:b/>
          <w:bCs/>
          <w:color w:val="auto"/>
          <w:sz w:val="32"/>
          <w:szCs w:val="32"/>
          <w:highlight w:val="none"/>
        </w:rPr>
        <w:t>投标报价分析说明表</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第</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标</w:t>
      </w:r>
      <w:r>
        <w:rPr>
          <w:rFonts w:ascii="宋体" w:hAnsi="宋体" w:cs="宋体"/>
          <w:b/>
          <w:bCs/>
          <w:color w:val="auto"/>
          <w:sz w:val="32"/>
          <w:szCs w:val="32"/>
          <w:highlight w:val="none"/>
        </w:rPr>
        <w:t>)</w:t>
      </w:r>
    </w:p>
    <w:p>
      <w:pPr>
        <w:spacing w:line="360" w:lineRule="auto"/>
        <w:jc w:val="center"/>
        <w:rPr>
          <w:rFonts w:ascii="宋体" w:hAnsi="宋体" w:cs="宋体"/>
          <w:color w:val="auto"/>
          <w:highlight w:val="none"/>
        </w:rPr>
      </w:pP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项目编号：                                    </w:t>
      </w:r>
    </w:p>
    <w:tbl>
      <w:tblPr>
        <w:tblStyle w:val="26"/>
        <w:tblW w:w="84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8475" w:type="dxa"/>
            <w:vAlign w:val="center"/>
          </w:tcPr>
          <w:p>
            <w:pPr>
              <w:tabs>
                <w:tab w:val="left" w:pos="8280"/>
              </w:tabs>
              <w:autoSpaceDE w:val="0"/>
              <w:autoSpaceDN w:val="0"/>
              <w:adjustRightInd w:val="0"/>
              <w:spacing w:line="360" w:lineRule="auto"/>
              <w:ind w:firstLine="120" w:firstLineChars="50"/>
              <w:jc w:val="center"/>
              <w:rPr>
                <w:rFonts w:ascii="宋体"/>
                <w:b/>
                <w:bCs/>
                <w:color w:val="auto"/>
                <w:sz w:val="24"/>
                <w:szCs w:val="24"/>
                <w:highlight w:val="none"/>
              </w:rPr>
            </w:pPr>
            <w:r>
              <w:rPr>
                <w:rFonts w:hint="eastAsia" w:ascii="宋体" w:hAnsi="宋体" w:cs="宋体"/>
                <w:b/>
                <w:bCs/>
                <w:color w:val="auto"/>
                <w:sz w:val="24"/>
                <w:szCs w:val="24"/>
                <w:highlight w:val="none"/>
              </w:rPr>
              <w:t>报价内容组成及分析说明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2" w:hRule="atLeast"/>
        </w:trPr>
        <w:tc>
          <w:tcPr>
            <w:tcW w:w="8475" w:type="dxa"/>
          </w:tcPr>
          <w:p>
            <w:pPr>
              <w:spacing w:line="400" w:lineRule="exact"/>
              <w:rPr>
                <w:rFonts w:ascii="新宋体" w:hAnsi="新宋体" w:eastAsia="新宋体"/>
                <w:color w:val="auto"/>
                <w:sz w:val="22"/>
                <w:highlight w:val="none"/>
              </w:rPr>
            </w:pPr>
          </w:p>
        </w:tc>
      </w:tr>
    </w:tbl>
    <w:p>
      <w:pPr>
        <w:spacing w:line="360" w:lineRule="auto"/>
        <w:rPr>
          <w:rFonts w:hint="eastAsia"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要求：</w:t>
      </w:r>
    </w:p>
    <w:p>
      <w:pPr>
        <w:spacing w:line="360" w:lineRule="auto"/>
        <w:ind w:left="435"/>
        <w:rPr>
          <w:rFonts w:ascii="宋体"/>
          <w:color w:val="auto"/>
          <w:highlight w:val="none"/>
        </w:rPr>
      </w:pPr>
      <w:bookmarkStart w:id="89" w:name="_Toc22876"/>
      <w:r>
        <w:rPr>
          <w:rFonts w:ascii="宋体" w:hAnsi="宋体" w:cs="宋体"/>
          <w:color w:val="auto"/>
          <w:highlight w:val="none"/>
        </w:rPr>
        <w:t xml:space="preserve">1. </w:t>
      </w:r>
      <w:r>
        <w:rPr>
          <w:rFonts w:hint="eastAsia" w:ascii="宋体" w:hAnsi="宋体" w:cs="宋体"/>
          <w:color w:val="auto"/>
          <w:highlight w:val="none"/>
        </w:rPr>
        <w:t>供应商应根据本次所投的报价折扣率，对成本及利润的构成进行合理分析说明。特别说明：供应商不得低于成本价进行投标竞争。</w:t>
      </w:r>
    </w:p>
    <w:p>
      <w:pPr>
        <w:spacing w:line="360" w:lineRule="auto"/>
        <w:ind w:left="420"/>
        <w:rPr>
          <w:rFonts w:ascii="宋体"/>
          <w:color w:val="auto"/>
          <w:sz w:val="24"/>
          <w:szCs w:val="24"/>
          <w:highlight w:val="none"/>
        </w:rPr>
      </w:pPr>
    </w:p>
    <w:p>
      <w:pPr>
        <w:spacing w:line="360" w:lineRule="auto"/>
        <w:ind w:left="420"/>
        <w:rPr>
          <w:rFonts w:ascii="宋体"/>
          <w:color w:val="auto"/>
          <w:sz w:val="24"/>
          <w:szCs w:val="24"/>
          <w:highlight w:val="none"/>
          <w:u w:val="single"/>
        </w:rPr>
      </w:pPr>
      <w:r>
        <w:rPr>
          <w:rFonts w:hint="eastAsia" w:ascii="宋体" w:hAnsi="宋体" w:cs="宋体"/>
          <w:color w:val="auto"/>
          <w:sz w:val="24"/>
          <w:szCs w:val="24"/>
          <w:highlight w:val="none"/>
        </w:rPr>
        <w:t>投标人名称（盖章）：</w:t>
      </w:r>
    </w:p>
    <w:p>
      <w:pPr>
        <w:spacing w:line="360" w:lineRule="auto"/>
        <w:ind w:firstLine="435"/>
        <w:rPr>
          <w:rFonts w:ascii="宋体"/>
          <w:color w:val="auto"/>
          <w:sz w:val="24"/>
          <w:szCs w:val="24"/>
          <w:highlight w:val="none"/>
        </w:rPr>
      </w:pPr>
      <w:r>
        <w:rPr>
          <w:rFonts w:hint="eastAsia" w:ascii="宋体" w:hAnsi="宋体" w:cs="宋体"/>
          <w:color w:val="auto"/>
          <w:sz w:val="24"/>
          <w:szCs w:val="24"/>
          <w:highlight w:val="none"/>
        </w:rPr>
        <w:t>投标人代表签字或盖章：</w:t>
      </w:r>
    </w:p>
    <w:p>
      <w:pPr>
        <w:spacing w:line="360" w:lineRule="auto"/>
        <w:ind w:firstLine="435"/>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务：</w:t>
      </w:r>
    </w:p>
    <w:p>
      <w:pPr>
        <w:spacing w:line="360" w:lineRule="auto"/>
        <w:ind w:firstLine="435"/>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tabs>
          <w:tab w:val="left" w:pos="2460"/>
        </w:tabs>
        <w:spacing w:line="360" w:lineRule="auto"/>
        <w:outlineLvl w:val="0"/>
        <w:rPr>
          <w:rFonts w:ascii="宋体" w:hAnsi="宋体" w:cs="宋体"/>
          <w:b/>
          <w:color w:val="auto"/>
          <w:sz w:val="28"/>
          <w:highlight w:val="none"/>
        </w:rPr>
      </w:pPr>
      <w:bookmarkStart w:id="90" w:name="_Toc24020"/>
      <w:r>
        <w:rPr>
          <w:rFonts w:hint="eastAsia" w:ascii="宋体" w:hAnsi="宋体" w:cs="宋体"/>
          <w:b/>
          <w:color w:val="auto"/>
          <w:sz w:val="28"/>
          <w:highlight w:val="none"/>
        </w:rPr>
        <w:t>附件17</w:t>
      </w:r>
      <w:bookmarkEnd w:id="89"/>
      <w:bookmarkEnd w:id="90"/>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32"/>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ind w:firstLine="480" w:firstLineChars="200"/>
        <w:jc w:val="left"/>
        <w:rPr>
          <w:rFonts w:ascii="宋体" w:hAnsi="宋体" w:cs="宋体"/>
          <w:bCs/>
          <w:color w:val="auto"/>
          <w:sz w:val="24"/>
          <w:highlight w:val="none"/>
        </w:rPr>
      </w:pPr>
    </w:p>
    <w:p>
      <w:pPr>
        <w:spacing w:line="360" w:lineRule="auto"/>
        <w:ind w:firstLine="480" w:firstLineChars="200"/>
        <w:jc w:val="left"/>
        <w:rPr>
          <w:rFonts w:ascii="宋体" w:hAnsi="宋体" w:cs="宋体"/>
          <w:bCs/>
          <w:color w:val="auto"/>
          <w:sz w:val="24"/>
          <w:highlight w:val="none"/>
        </w:rPr>
      </w:pP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注：供应商提供声明函内容不实的，属于提供虚假材料谋取中标、成交，依照《中华人民共和国政府采购法》等国家有关规定追究相应责任。 </w:t>
      </w: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ind w:left="-2" w:hanging="2"/>
        <w:jc w:val="center"/>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3120" w:firstLineChars="1300"/>
        <w:jc w:val="left"/>
        <w:rPr>
          <w:rFonts w:ascii="宋体" w:hAnsi="宋体" w:cs="宋体"/>
          <w:bCs/>
          <w:color w:val="auto"/>
          <w:sz w:val="24"/>
          <w:highlight w:val="none"/>
        </w:rPr>
      </w:pPr>
      <w:r>
        <w:rPr>
          <w:rFonts w:hint="eastAsia" w:ascii="宋体" w:hAnsi="宋体" w:cs="宋体"/>
          <w:bCs/>
          <w:color w:val="auto"/>
          <w:sz w:val="24"/>
          <w:highlight w:val="none"/>
        </w:rPr>
        <w:t>单位名称（单位公章）：</w:t>
      </w:r>
    </w:p>
    <w:p>
      <w:pPr>
        <w:spacing w:line="360" w:lineRule="auto"/>
        <w:ind w:firstLine="5040" w:firstLineChars="2100"/>
        <w:rPr>
          <w:rFonts w:ascii="宋体" w:hAnsi="宋体" w:cs="宋体"/>
          <w:bCs/>
          <w:color w:val="auto"/>
          <w:sz w:val="24"/>
          <w:highlight w:val="none"/>
        </w:rPr>
      </w:pPr>
      <w:r>
        <w:rPr>
          <w:rFonts w:hint="eastAsia" w:ascii="宋体" w:hAnsi="宋体" w:cs="宋体"/>
          <w:bCs/>
          <w:color w:val="auto"/>
          <w:sz w:val="24"/>
          <w:highlight w:val="none"/>
        </w:rPr>
        <w:t>日期：</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p>
    <w:p>
      <w:pPr>
        <w:rPr>
          <w:rFonts w:ascii="宋体" w:hAnsi="宋体" w:cs="宋体"/>
          <w:bCs/>
          <w:color w:val="auto"/>
          <w:sz w:val="24"/>
          <w:highlight w:val="none"/>
        </w:rPr>
      </w:pPr>
      <w:r>
        <w:rPr>
          <w:rFonts w:hint="eastAsia" w:ascii="宋体" w:hAnsi="宋体" w:cs="宋体"/>
          <w:bCs/>
          <w:color w:val="auto"/>
          <w:sz w:val="24"/>
          <w:highlight w:val="none"/>
        </w:rPr>
        <w:br w:type="page"/>
      </w:r>
    </w:p>
    <w:p>
      <w:pPr>
        <w:pStyle w:val="13"/>
        <w:spacing w:before="120" w:after="120" w:line="360" w:lineRule="auto"/>
        <w:jc w:val="center"/>
        <w:rPr>
          <w:rFonts w:hAnsi="宋体"/>
          <w:b/>
          <w:bCs/>
          <w:color w:val="auto"/>
          <w:sz w:val="30"/>
          <w:szCs w:val="30"/>
          <w:highlight w:val="none"/>
        </w:rPr>
      </w:pPr>
      <w:r>
        <w:rPr>
          <w:rFonts w:hint="eastAsia" w:hAnsi="宋体" w:cs="宋体"/>
          <w:b/>
          <w:bCs/>
          <w:color w:val="auto"/>
          <w:sz w:val="30"/>
          <w:szCs w:val="30"/>
          <w:highlight w:val="none"/>
        </w:rPr>
        <w:t>产品适用政府采购政策情况表</w:t>
      </w:r>
    </w:p>
    <w:tbl>
      <w:tblPr>
        <w:tblStyle w:val="2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87"/>
        <w:gridCol w:w="36"/>
        <w:gridCol w:w="107"/>
        <w:gridCol w:w="1108"/>
        <w:gridCol w:w="15"/>
        <w:gridCol w:w="64"/>
        <w:gridCol w:w="934"/>
        <w:gridCol w:w="16"/>
        <w:gridCol w:w="59"/>
        <w:gridCol w:w="1721"/>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642" w:type="dxa"/>
            <w:vMerge w:val="restart"/>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小型、微型企业产品</w:t>
            </w:r>
          </w:p>
        </w:tc>
        <w:tc>
          <w:tcPr>
            <w:tcW w:w="1187"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51"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1013"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796"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187"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51"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013"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796"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187"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51"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013"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796"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10"/>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小型、微型企业产品</w:t>
            </w:r>
            <w:r>
              <w:rPr>
                <w:rFonts w:hint="eastAsia" w:ascii="宋体" w:hAnsi="宋体" w:cs="宋体"/>
                <w:color w:val="auto"/>
                <w:szCs w:val="21"/>
                <w:highlight w:val="none"/>
                <w:lang w:val="en-GB"/>
              </w:rPr>
              <w:t>金额合计</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10"/>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w:t>
            </w:r>
            <w:r>
              <w:rPr>
                <w:rFonts w:hint="eastAsia" w:ascii="宋体" w:hAnsi="宋体" w:cs="宋体"/>
                <w:color w:val="auto"/>
                <w:szCs w:val="21"/>
                <w:highlight w:val="none"/>
              </w:rPr>
              <w:t>小型、微型企业产品</w:t>
            </w:r>
            <w:r>
              <w:rPr>
                <w:rFonts w:hint="eastAsia" w:ascii="宋体" w:hAnsi="宋体" w:cs="宋体"/>
                <w:color w:val="auto"/>
                <w:szCs w:val="21"/>
                <w:highlight w:val="none"/>
                <w:lang w:val="en-GB"/>
              </w:rPr>
              <w:t>金额/投标总价）</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6475" w:type="dxa"/>
            <w:gridSpan w:val="11"/>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642" w:type="dxa"/>
            <w:vMerge w:val="restart"/>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监狱企</w:t>
            </w:r>
          </w:p>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业产品</w:t>
            </w:r>
          </w:p>
        </w:tc>
        <w:tc>
          <w:tcPr>
            <w:tcW w:w="1223" w:type="dxa"/>
            <w:gridSpan w:val="2"/>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30"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1073" w:type="dxa"/>
            <w:gridSpan w:val="4"/>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721"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企业类型</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23" w:type="dxa"/>
            <w:gridSpan w:val="2"/>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230" w:type="dxa"/>
            <w:gridSpan w:val="3"/>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073" w:type="dxa"/>
            <w:gridSpan w:val="4"/>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721" w:type="dxa"/>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23" w:type="dxa"/>
            <w:gridSpan w:val="2"/>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230" w:type="dxa"/>
            <w:gridSpan w:val="3"/>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073" w:type="dxa"/>
            <w:gridSpan w:val="4"/>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721" w:type="dxa"/>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10"/>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监狱企</w:t>
            </w:r>
            <w:r>
              <w:rPr>
                <w:rFonts w:hint="eastAsia" w:ascii="宋体" w:hAnsi="宋体" w:cs="宋体"/>
                <w:color w:val="auto"/>
                <w:szCs w:val="21"/>
                <w:highlight w:val="none"/>
              </w:rPr>
              <w:t>业产品</w:t>
            </w:r>
            <w:r>
              <w:rPr>
                <w:rFonts w:hint="eastAsia" w:ascii="宋体" w:hAnsi="宋体" w:cs="宋体"/>
                <w:color w:val="auto"/>
                <w:szCs w:val="21"/>
                <w:highlight w:val="none"/>
                <w:lang w:val="en-GB"/>
              </w:rPr>
              <w:t>金额合计</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10"/>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比重（监狱企</w:t>
            </w:r>
            <w:r>
              <w:rPr>
                <w:rFonts w:hint="eastAsia" w:ascii="宋体" w:hAnsi="宋体" w:cs="宋体"/>
                <w:color w:val="auto"/>
                <w:szCs w:val="21"/>
                <w:highlight w:val="none"/>
              </w:rPr>
              <w:t>业产品</w:t>
            </w:r>
            <w:r>
              <w:rPr>
                <w:rFonts w:hint="eastAsia" w:ascii="宋体" w:hAnsi="宋体" w:cs="宋体"/>
                <w:color w:val="auto"/>
                <w:szCs w:val="21"/>
                <w:highlight w:val="none"/>
                <w:lang w:val="en-GB"/>
              </w:rPr>
              <w:t>金额/投标总价）</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6475" w:type="dxa"/>
            <w:gridSpan w:val="11"/>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监狱企</w:t>
            </w:r>
            <w:r>
              <w:rPr>
                <w:rFonts w:hint="eastAsia" w:ascii="宋体" w:hAnsi="宋体" w:cs="宋体"/>
                <w:color w:val="auto"/>
                <w:szCs w:val="21"/>
                <w:highlight w:val="none"/>
              </w:rPr>
              <w:t>业证明材料见投标文件第至页。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642" w:type="dxa"/>
            <w:vMerge w:val="restart"/>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残疾人福利性单位产品</w:t>
            </w:r>
          </w:p>
        </w:tc>
        <w:tc>
          <w:tcPr>
            <w:tcW w:w="1330"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187" w:type="dxa"/>
            <w:gridSpan w:val="3"/>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950" w:type="dxa"/>
            <w:gridSpan w:val="2"/>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780" w:type="dxa"/>
            <w:gridSpan w:val="2"/>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企业类型</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330" w:type="dxa"/>
            <w:gridSpan w:val="3"/>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187" w:type="dxa"/>
            <w:gridSpan w:val="3"/>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950" w:type="dxa"/>
            <w:gridSpan w:val="2"/>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780" w:type="dxa"/>
            <w:gridSpan w:val="2"/>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330" w:type="dxa"/>
            <w:gridSpan w:val="3"/>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187" w:type="dxa"/>
            <w:gridSpan w:val="3"/>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950" w:type="dxa"/>
            <w:gridSpan w:val="2"/>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780" w:type="dxa"/>
            <w:gridSpan w:val="2"/>
            <w:vAlign w:val="center"/>
          </w:tcPr>
          <w:p>
            <w:pPr>
              <w:pStyle w:val="84"/>
              <w:tabs>
                <w:tab w:val="left" w:pos="1260"/>
              </w:tabs>
              <w:snapToGrid w:val="0"/>
              <w:spacing w:line="360" w:lineRule="auto"/>
              <w:jc w:val="center"/>
              <w:rPr>
                <w:rFonts w:ascii="宋体" w:hAnsi="宋体" w:cs="宋体"/>
                <w:color w:val="auto"/>
                <w:szCs w:val="21"/>
                <w:highlight w:val="none"/>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10"/>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残疾人福利性单位</w:t>
            </w:r>
            <w:r>
              <w:rPr>
                <w:rFonts w:hint="eastAsia" w:ascii="宋体" w:hAnsi="宋体" w:cs="宋体"/>
                <w:color w:val="auto"/>
                <w:szCs w:val="21"/>
                <w:highlight w:val="none"/>
              </w:rPr>
              <w:t>产品</w:t>
            </w:r>
            <w:r>
              <w:rPr>
                <w:rFonts w:hint="eastAsia" w:ascii="宋体" w:hAnsi="宋体" w:cs="宋体"/>
                <w:color w:val="auto"/>
                <w:szCs w:val="21"/>
                <w:highlight w:val="none"/>
                <w:lang w:val="en-GB"/>
              </w:rPr>
              <w:t>金额合计</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10"/>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比重（残疾人福利性单位</w:t>
            </w:r>
            <w:r>
              <w:rPr>
                <w:rFonts w:hint="eastAsia" w:ascii="宋体" w:hAnsi="宋体" w:cs="宋体"/>
                <w:color w:val="auto"/>
                <w:szCs w:val="21"/>
                <w:highlight w:val="none"/>
              </w:rPr>
              <w:t>产品</w:t>
            </w:r>
            <w:r>
              <w:rPr>
                <w:rFonts w:hint="eastAsia" w:ascii="宋体" w:hAnsi="宋体" w:cs="宋体"/>
                <w:color w:val="auto"/>
                <w:szCs w:val="21"/>
                <w:highlight w:val="none"/>
                <w:lang w:val="en-GB"/>
              </w:rPr>
              <w:t>金额/投标总价）</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6475" w:type="dxa"/>
            <w:gridSpan w:val="11"/>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残疾人福利性单位</w:t>
            </w:r>
            <w:r>
              <w:rPr>
                <w:rFonts w:hint="eastAsia" w:ascii="宋体" w:hAnsi="宋体" w:cs="宋体"/>
                <w:color w:val="auto"/>
                <w:szCs w:val="21"/>
                <w:highlight w:val="none"/>
              </w:rPr>
              <w:t>证明材料见投标文件部分第至页。</w:t>
            </w:r>
          </w:p>
        </w:tc>
      </w:tr>
    </w:tbl>
    <w:p>
      <w:pPr>
        <w:pStyle w:val="13"/>
        <w:spacing w:before="120" w:after="120"/>
        <w:rPr>
          <w:rFonts w:hAnsi="宋体" w:cs="宋体"/>
          <w:color w:val="auto"/>
          <w:szCs w:val="21"/>
          <w:highlight w:val="none"/>
        </w:rPr>
      </w:pPr>
      <w:bookmarkStart w:id="91" w:name="_Toc470007449"/>
      <w:bookmarkStart w:id="92" w:name="_Toc19917"/>
      <w:r>
        <w:rPr>
          <w:rFonts w:hint="eastAsia" w:hAnsi="宋体" w:cs="宋体"/>
          <w:color w:val="auto"/>
          <w:szCs w:val="21"/>
          <w:highlight w:val="none"/>
        </w:rPr>
        <w:t>填报要求：</w:t>
      </w:r>
      <w:bookmarkEnd w:id="91"/>
      <w:bookmarkEnd w:id="92"/>
    </w:p>
    <w:p>
      <w:pPr>
        <w:pStyle w:val="13"/>
        <w:spacing w:before="120" w:after="120"/>
        <w:rPr>
          <w:rFonts w:hAnsi="宋体" w:cs="宋体"/>
          <w:color w:val="auto"/>
          <w:szCs w:val="21"/>
          <w:highlight w:val="none"/>
        </w:rPr>
      </w:pPr>
      <w:bookmarkStart w:id="93" w:name="_Toc470007450"/>
      <w:bookmarkStart w:id="94" w:name="_Toc29781"/>
      <w:r>
        <w:rPr>
          <w:rFonts w:hint="eastAsia" w:hAnsi="宋体" w:cs="宋体"/>
          <w:color w:val="auto"/>
          <w:szCs w:val="21"/>
          <w:highlight w:val="none"/>
        </w:rPr>
        <w:t>1. 本表的产品名称、品牌型号、金额应与《投标报价明细表》一致。</w:t>
      </w:r>
      <w:bookmarkEnd w:id="93"/>
      <w:bookmarkEnd w:id="94"/>
    </w:p>
    <w:p>
      <w:pPr>
        <w:pStyle w:val="13"/>
        <w:spacing w:before="120" w:after="120"/>
        <w:rPr>
          <w:rFonts w:hAnsi="宋体" w:cs="宋体"/>
          <w:color w:val="auto"/>
          <w:szCs w:val="21"/>
          <w:highlight w:val="none"/>
        </w:rPr>
      </w:pPr>
      <w:bookmarkStart w:id="95" w:name="_Toc6260"/>
      <w:bookmarkStart w:id="96" w:name="_Toc470007451"/>
      <w:r>
        <w:rPr>
          <w:rFonts w:hint="eastAsia" w:hAnsi="宋体" w:cs="宋体"/>
          <w:color w:val="auto"/>
          <w:szCs w:val="21"/>
          <w:highlight w:val="none"/>
        </w:rPr>
        <w:t>2. 制造商为小型或微型企业时才需要填“制造商企业类型”栏，填写内容为“小型”或“微型”。</w:t>
      </w:r>
      <w:bookmarkEnd w:id="95"/>
      <w:bookmarkEnd w:id="96"/>
    </w:p>
    <w:p>
      <w:pPr>
        <w:pStyle w:val="13"/>
        <w:spacing w:before="120" w:after="120"/>
        <w:rPr>
          <w:rFonts w:hAnsi="宋体" w:cs="宋体"/>
          <w:color w:val="auto"/>
          <w:szCs w:val="21"/>
          <w:highlight w:val="none"/>
        </w:rPr>
      </w:pPr>
      <w:bookmarkStart w:id="97" w:name="_Toc4259"/>
      <w:r>
        <w:rPr>
          <w:rFonts w:hint="eastAsia" w:hAnsi="宋体" w:cs="宋体"/>
          <w:color w:val="auto"/>
          <w:szCs w:val="21"/>
          <w:highlight w:val="none"/>
        </w:rPr>
        <w:t>3. 制造商为监狱企业时才需要填“制造商企业类型”栏。</w:t>
      </w:r>
      <w:bookmarkEnd w:id="97"/>
      <w:bookmarkStart w:id="98" w:name="_Toc470007452"/>
    </w:p>
    <w:bookmarkEnd w:id="98"/>
    <w:p>
      <w:pPr>
        <w:pStyle w:val="13"/>
        <w:spacing w:before="120" w:after="120"/>
        <w:rPr>
          <w:rFonts w:hAnsi="宋体"/>
          <w:color w:val="auto"/>
          <w:szCs w:val="21"/>
          <w:highlight w:val="none"/>
        </w:rPr>
      </w:pPr>
      <w:bookmarkStart w:id="99" w:name="_Toc470007453"/>
      <w:r>
        <w:rPr>
          <w:rFonts w:hint="eastAsia" w:hAnsi="宋体" w:cs="宋体"/>
          <w:color w:val="auto"/>
          <w:szCs w:val="21"/>
          <w:highlight w:val="none"/>
        </w:rPr>
        <w:t>4. 请投标人正确填写本表，所填内容将作为评分的依据。其内容或数据应与对应的证明资料相符，如果填写不完整或有误，不再享受上述政策优惠。</w:t>
      </w:r>
      <w:bookmarkEnd w:id="99"/>
    </w:p>
    <w:p>
      <w:pPr>
        <w:spacing w:line="360" w:lineRule="auto"/>
        <w:rPr>
          <w:rFonts w:ascii="宋体" w:hAnsi="宋体" w:cs="宋体"/>
          <w:color w:val="auto"/>
          <w:sz w:val="24"/>
          <w:highlight w:val="none"/>
        </w:rPr>
      </w:pPr>
      <w:r>
        <w:rPr>
          <w:rFonts w:hint="eastAsia" w:ascii="宋体" w:hAnsi="宋体" w:cs="宋体"/>
          <w:color w:val="auto"/>
          <w:sz w:val="24"/>
          <w:highlight w:val="none"/>
        </w:rPr>
        <w:t>投标人：（盖章或CA签章）</w:t>
      </w:r>
    </w:p>
    <w:p>
      <w:pPr>
        <w:tabs>
          <w:tab w:val="left" w:pos="1418"/>
        </w:tabs>
        <w:autoSpaceDE w:val="0"/>
        <w:autoSpaceDN w:val="0"/>
        <w:adjustRightInd w:val="0"/>
        <w:spacing w:line="360" w:lineRule="auto"/>
        <w:ind w:firstLine="480" w:firstLineChars="200"/>
        <w:rPr>
          <w:rFonts w:ascii="宋体"/>
          <w:color w:val="auto"/>
          <w:kern w:val="0"/>
          <w:sz w:val="24"/>
          <w:highlight w:val="none"/>
          <w:lang w:val="en-GB"/>
        </w:rPr>
      </w:pPr>
      <w:r>
        <w:rPr>
          <w:rFonts w:hint="eastAsia" w:ascii="宋体" w:hAnsi="宋体" w:cs="宋体"/>
          <w:color w:val="auto"/>
          <w:sz w:val="24"/>
          <w:highlight w:val="none"/>
        </w:rPr>
        <w:t>日期：</w:t>
      </w:r>
    </w:p>
    <w:p>
      <w:pPr>
        <w:pStyle w:val="61"/>
        <w:spacing w:line="360" w:lineRule="auto"/>
        <w:rPr>
          <w:rFonts w:ascii="宋体" w:hAnsi="宋体"/>
          <w:b/>
          <w:color w:val="auto"/>
          <w:sz w:val="28"/>
          <w:szCs w:val="28"/>
          <w:highlight w:val="none"/>
        </w:rPr>
      </w:pPr>
    </w:p>
    <w:p>
      <w:pPr>
        <w:pStyle w:val="59"/>
        <w:spacing w:line="360" w:lineRule="auto"/>
        <w:jc w:val="center"/>
        <w:rPr>
          <w:rFonts w:ascii="宋体" w:hAnsi="宋体"/>
          <w:b/>
          <w:color w:val="auto"/>
          <w:sz w:val="32"/>
          <w:szCs w:val="32"/>
          <w:highlight w:val="none"/>
          <w:lang w:val="en-GB"/>
        </w:rPr>
      </w:pPr>
      <w:r>
        <w:rPr>
          <w:rFonts w:hint="eastAsia" w:ascii="宋体" w:hAnsi="宋体"/>
          <w:b/>
          <w:color w:val="auto"/>
          <w:sz w:val="32"/>
          <w:szCs w:val="32"/>
          <w:highlight w:val="none"/>
          <w:lang w:val="en-GB"/>
        </w:rPr>
        <w:t>中型企业产品情况表</w:t>
      </w:r>
    </w:p>
    <w:p>
      <w:pPr>
        <w:pStyle w:val="59"/>
        <w:spacing w:line="360" w:lineRule="auto"/>
        <w:jc w:val="center"/>
        <w:rPr>
          <w:rFonts w:ascii="宋体" w:hAnsi="宋体"/>
          <w:b/>
          <w:color w:val="auto"/>
          <w:sz w:val="32"/>
          <w:szCs w:val="32"/>
          <w:highlight w:val="none"/>
          <w:lang w:val="en-GB"/>
        </w:rPr>
      </w:pPr>
    </w:p>
    <w:tbl>
      <w:tblPr>
        <w:tblStyle w:val="2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87"/>
        <w:gridCol w:w="1251"/>
        <w:gridCol w:w="1013"/>
        <w:gridCol w:w="179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642" w:type="dxa"/>
            <w:vMerge w:val="restart"/>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中型企业产品</w:t>
            </w:r>
          </w:p>
        </w:tc>
        <w:tc>
          <w:tcPr>
            <w:tcW w:w="1187"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51"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1013"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796"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中型企业</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187"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51"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013"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796"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187"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51"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013"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796"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4"/>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中型企业产品</w:t>
            </w:r>
            <w:r>
              <w:rPr>
                <w:rFonts w:hint="eastAsia" w:ascii="宋体" w:hAnsi="宋体" w:cs="宋体"/>
                <w:color w:val="auto"/>
                <w:szCs w:val="21"/>
                <w:highlight w:val="none"/>
                <w:lang w:val="en-GB"/>
              </w:rPr>
              <w:t>金额合计</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5247" w:type="dxa"/>
            <w:gridSpan w:val="4"/>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w:t>
            </w:r>
            <w:r>
              <w:rPr>
                <w:rFonts w:hint="eastAsia" w:ascii="宋体" w:hAnsi="宋体" w:cs="宋体"/>
                <w:color w:val="auto"/>
                <w:szCs w:val="21"/>
                <w:highlight w:val="none"/>
              </w:rPr>
              <w:t>中型企业产品</w:t>
            </w:r>
            <w:r>
              <w:rPr>
                <w:rFonts w:hint="eastAsia" w:ascii="宋体" w:hAnsi="宋体" w:cs="宋体"/>
                <w:color w:val="auto"/>
                <w:szCs w:val="21"/>
                <w:highlight w:val="none"/>
                <w:lang w:val="en-GB"/>
              </w:rPr>
              <w:t>金额/投标总价）</w:t>
            </w:r>
          </w:p>
        </w:tc>
        <w:tc>
          <w:tcPr>
            <w:tcW w:w="1228" w:type="dxa"/>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vAlign w:val="center"/>
          </w:tcPr>
          <w:p>
            <w:pPr>
              <w:pStyle w:val="84"/>
              <w:tabs>
                <w:tab w:val="left" w:pos="1260"/>
              </w:tabs>
              <w:snapToGrid w:val="0"/>
              <w:spacing w:line="360" w:lineRule="auto"/>
              <w:jc w:val="center"/>
              <w:rPr>
                <w:rFonts w:ascii="宋体" w:hAnsi="宋体" w:cs="宋体"/>
                <w:color w:val="auto"/>
                <w:szCs w:val="21"/>
                <w:highlight w:val="none"/>
                <w:lang w:val="en-GB"/>
              </w:rPr>
            </w:pPr>
          </w:p>
        </w:tc>
        <w:tc>
          <w:tcPr>
            <w:tcW w:w="6475" w:type="dxa"/>
            <w:gridSpan w:val="5"/>
            <w:vAlign w:val="center"/>
          </w:tcPr>
          <w:p>
            <w:pPr>
              <w:pStyle w:val="84"/>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中型企业证明材料见投标文件第至页。</w:t>
            </w:r>
          </w:p>
        </w:tc>
      </w:tr>
    </w:tbl>
    <w:p>
      <w:pPr>
        <w:pStyle w:val="59"/>
        <w:spacing w:line="360" w:lineRule="auto"/>
        <w:rPr>
          <w:rFonts w:ascii="宋体" w:hAnsi="宋体"/>
          <w:color w:val="auto"/>
          <w:szCs w:val="21"/>
          <w:highlight w:val="none"/>
          <w:lang w:val="en-GB"/>
        </w:rPr>
      </w:pPr>
    </w:p>
    <w:p>
      <w:pPr>
        <w:pStyle w:val="59"/>
        <w:spacing w:line="360" w:lineRule="auto"/>
        <w:rPr>
          <w:rFonts w:ascii="宋体" w:hAnsi="宋体"/>
          <w:color w:val="auto"/>
          <w:szCs w:val="21"/>
          <w:highlight w:val="none"/>
          <w:lang w:val="en-GB"/>
        </w:rPr>
      </w:pPr>
      <w:r>
        <w:rPr>
          <w:rFonts w:hint="eastAsia" w:ascii="宋体" w:hAnsi="宋体"/>
          <w:color w:val="auto"/>
          <w:szCs w:val="21"/>
          <w:highlight w:val="none"/>
          <w:lang w:val="en-GB"/>
        </w:rPr>
        <w:t>填报要求：</w:t>
      </w:r>
    </w:p>
    <w:p>
      <w:pPr>
        <w:pStyle w:val="59"/>
        <w:widowControl/>
        <w:spacing w:line="360" w:lineRule="auto"/>
        <w:ind w:right="84" w:rightChars="40"/>
        <w:jc w:val="left"/>
        <w:rPr>
          <w:rFonts w:ascii="宋体" w:hAnsi="宋体"/>
          <w:color w:val="auto"/>
          <w:szCs w:val="21"/>
          <w:highlight w:val="none"/>
          <w:lang w:val="en-GB"/>
        </w:rPr>
      </w:pPr>
      <w:r>
        <w:rPr>
          <w:rFonts w:hint="eastAsia" w:ascii="宋体" w:hAnsi="宋体"/>
          <w:color w:val="auto"/>
          <w:szCs w:val="21"/>
          <w:highlight w:val="none"/>
        </w:rPr>
        <w:t>1.</w:t>
      </w:r>
      <w:r>
        <w:rPr>
          <w:rFonts w:hint="eastAsia" w:ascii="宋体" w:hAnsi="宋体"/>
          <w:color w:val="auto"/>
          <w:szCs w:val="21"/>
          <w:highlight w:val="none"/>
          <w:lang w:val="en-GB"/>
        </w:rPr>
        <w:t>本表的产品名称、规格型号和注册商标、金额要与《报价明细表》一致。</w:t>
      </w:r>
    </w:p>
    <w:p>
      <w:pPr>
        <w:pStyle w:val="12"/>
        <w:ind w:right="-252"/>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投标人：（盖章或CA签章）</w:t>
      </w:r>
    </w:p>
    <w:p>
      <w:pPr>
        <w:tabs>
          <w:tab w:val="left" w:pos="1418"/>
        </w:tabs>
        <w:autoSpaceDE w:val="0"/>
        <w:autoSpaceDN w:val="0"/>
        <w:adjustRightInd w:val="0"/>
        <w:spacing w:line="360" w:lineRule="auto"/>
        <w:ind w:firstLine="480" w:firstLineChars="200"/>
        <w:rPr>
          <w:rFonts w:ascii="宋体"/>
          <w:color w:val="auto"/>
          <w:kern w:val="0"/>
          <w:sz w:val="24"/>
          <w:highlight w:val="none"/>
          <w:lang w:val="en-GB"/>
        </w:rPr>
      </w:pPr>
      <w:r>
        <w:rPr>
          <w:rFonts w:hint="eastAsia" w:ascii="宋体" w:hAnsi="宋体" w:cs="宋体"/>
          <w:color w:val="auto"/>
          <w:sz w:val="24"/>
          <w:highlight w:val="none"/>
        </w:rPr>
        <w:t>日期：</w:t>
      </w:r>
    </w:p>
    <w:p>
      <w:pPr>
        <w:rPr>
          <w:color w:val="auto"/>
          <w:highlight w:val="none"/>
        </w:rPr>
      </w:pPr>
    </w:p>
    <w:p>
      <w:pPr>
        <w:spacing w:line="360" w:lineRule="auto"/>
        <w:ind w:left="-2" w:hanging="2"/>
        <w:jc w:val="center"/>
        <w:rPr>
          <w:rFonts w:ascii="宋体" w:hAnsi="宋体" w:cs="宋体"/>
          <w:b/>
          <w:color w:val="auto"/>
          <w:sz w:val="32"/>
          <w:szCs w:val="32"/>
          <w:highlight w:val="none"/>
          <w:lang w:val="en-GB"/>
        </w:rPr>
        <w:sectPr>
          <w:headerReference r:id="rId6" w:type="default"/>
          <w:footerReference r:id="rId7"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docGrid w:type="lines" w:linePitch="317" w:charSpace="0"/>
        </w:sectPr>
      </w:pPr>
    </w:p>
    <w:p>
      <w:pPr>
        <w:spacing w:line="360" w:lineRule="auto"/>
        <w:ind w:left="-2" w:hanging="2"/>
        <w:jc w:val="center"/>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政府采购活动现场确认声明书</w:t>
      </w:r>
    </w:p>
    <w:p>
      <w:pPr>
        <w:snapToGrid w:val="0"/>
        <w:spacing w:line="500" w:lineRule="exact"/>
        <w:rPr>
          <w:rFonts w:ascii="仿宋" w:hAnsi="Courier New" w:eastAsia="仿宋"/>
          <w:b/>
          <w:color w:val="auto"/>
          <w:sz w:val="24"/>
          <w:highlight w:val="none"/>
        </w:rPr>
      </w:pPr>
      <w:r>
        <w:rPr>
          <w:rFonts w:hint="eastAsia" w:ascii="仿宋" w:hAnsi="仿宋"/>
          <w:color w:val="auto"/>
          <w:kern w:val="0"/>
          <w:sz w:val="24"/>
          <w:highlight w:val="none"/>
          <w:u w:val="single"/>
        </w:rPr>
        <w:t xml:space="preserve"> </w:t>
      </w:r>
      <w:r>
        <w:rPr>
          <w:rFonts w:ascii="仿宋" w:hAnsi="仿宋"/>
          <w:color w:val="auto"/>
          <w:kern w:val="0"/>
          <w:sz w:val="24"/>
          <w:highlight w:val="none"/>
          <w:u w:val="single"/>
        </w:rPr>
        <w:t xml:space="preserve">               </w:t>
      </w:r>
      <w:r>
        <w:rPr>
          <w:rFonts w:hint="eastAsia" w:ascii="仿宋" w:hAnsi="仿宋"/>
          <w:color w:val="auto"/>
          <w:kern w:val="0"/>
          <w:sz w:val="24"/>
          <w:highlight w:val="none"/>
          <w:u w:val="single"/>
        </w:rPr>
        <w:t xml:space="preserve"> </w:t>
      </w:r>
      <w:r>
        <w:rPr>
          <w:rFonts w:hint="eastAsia" w:ascii="仿宋" w:hAnsi="仿宋"/>
          <w:color w:val="auto"/>
          <w:kern w:val="0"/>
          <w:sz w:val="24"/>
          <w:highlight w:val="none"/>
        </w:rPr>
        <w:t>（采购组织机构名称）：</w:t>
      </w:r>
    </w:p>
    <w:p>
      <w:pPr>
        <w:widowControl/>
        <w:spacing w:line="360" w:lineRule="exact"/>
        <w:ind w:firstLine="504" w:firstLineChars="200"/>
        <w:jc w:val="left"/>
        <w:rPr>
          <w:rFonts w:ascii="宋体" w:hAnsi="宋体"/>
          <w:color w:val="auto"/>
          <w:kern w:val="0"/>
          <w:sz w:val="24"/>
          <w:highlight w:val="none"/>
          <w:lang w:val="zh-CN"/>
        </w:rPr>
      </w:pPr>
      <w:r>
        <w:rPr>
          <w:rFonts w:hint="eastAsia" w:ascii="仿宋" w:hAnsi="仿宋"/>
          <w:color w:val="auto"/>
          <w:spacing w:val="6"/>
          <w:kern w:val="0"/>
          <w:sz w:val="24"/>
          <w:highlight w:val="none"/>
          <w:lang w:val="zh-CN"/>
        </w:rPr>
        <w:t>本人经由</w:t>
      </w:r>
      <w:r>
        <w:rPr>
          <w:rFonts w:hint="eastAsia" w:ascii="仿宋" w:hAnsi="仿宋"/>
          <w:color w:val="auto"/>
          <w:spacing w:val="6"/>
          <w:kern w:val="0"/>
          <w:sz w:val="24"/>
          <w:highlight w:val="none"/>
          <w:u w:val="single"/>
          <w:lang w:val="zh-CN"/>
        </w:rPr>
        <w:t xml:space="preserve">                   </w:t>
      </w:r>
      <w:r>
        <w:rPr>
          <w:rFonts w:ascii="仿宋" w:hAnsi="仿宋"/>
          <w:color w:val="auto"/>
          <w:spacing w:val="6"/>
          <w:kern w:val="0"/>
          <w:sz w:val="24"/>
          <w:highlight w:val="none"/>
          <w:u w:val="single"/>
          <w:lang w:val="zh-CN"/>
        </w:rPr>
        <w:t xml:space="preserve">          </w:t>
      </w:r>
      <w:r>
        <w:rPr>
          <w:rFonts w:hint="eastAsia" w:ascii="仿宋" w:hAnsi="仿宋"/>
          <w:color w:val="auto"/>
          <w:spacing w:val="6"/>
          <w:kern w:val="0"/>
          <w:sz w:val="24"/>
          <w:highlight w:val="none"/>
          <w:lang w:val="zh-CN"/>
        </w:rPr>
        <w:t>单位</w:t>
      </w:r>
      <w:r>
        <w:rPr>
          <w:rFonts w:hint="eastAsia" w:ascii="仿宋" w:hAnsi="仿宋"/>
          <w:color w:val="auto"/>
          <w:spacing w:val="6"/>
          <w:kern w:val="0"/>
          <w:sz w:val="24"/>
          <w:highlight w:val="none"/>
          <w:u w:val="single"/>
          <w:lang w:val="zh-CN"/>
        </w:rPr>
        <w:t xml:space="preserve">         (法人代表)</w:t>
      </w:r>
      <w:r>
        <w:rPr>
          <w:rFonts w:hint="eastAsia" w:ascii="仿宋" w:hAnsi="仿宋"/>
          <w:color w:val="auto"/>
          <w:spacing w:val="6"/>
          <w:kern w:val="0"/>
          <w:sz w:val="24"/>
          <w:highlight w:val="none"/>
          <w:lang w:val="zh-CN"/>
        </w:rPr>
        <w:t>合法授权参加</w:t>
      </w:r>
      <w:r>
        <w:rPr>
          <w:rFonts w:hint="eastAsia" w:ascii="宋体" w:hAnsi="宋体"/>
          <w:color w:val="auto"/>
          <w:kern w:val="0"/>
          <w:sz w:val="24"/>
          <w:highlight w:val="none"/>
          <w:u w:val="single"/>
          <w:lang w:val="zh-CN"/>
        </w:rPr>
        <w:t xml:space="preserve"> </w:t>
      </w:r>
      <w:r>
        <w:rPr>
          <w:rFonts w:ascii="宋体" w:hAnsi="宋体"/>
          <w:color w:val="auto"/>
          <w:kern w:val="0"/>
          <w:sz w:val="24"/>
          <w:highlight w:val="none"/>
          <w:u w:val="single"/>
          <w:lang w:val="zh-CN"/>
        </w:rPr>
        <w:t xml:space="preserve">                 </w:t>
      </w:r>
      <w:r>
        <w:rPr>
          <w:rFonts w:hint="eastAsia" w:ascii="宋体" w:hAnsi="宋体"/>
          <w:color w:val="auto"/>
          <w:kern w:val="0"/>
          <w:sz w:val="24"/>
          <w:highlight w:val="none"/>
          <w:u w:val="single"/>
          <w:lang w:val="zh-CN"/>
        </w:rPr>
        <w:t xml:space="preserve"> </w:t>
      </w:r>
      <w:r>
        <w:rPr>
          <w:rFonts w:ascii="宋体" w:hAnsi="宋体"/>
          <w:color w:val="auto"/>
          <w:kern w:val="0"/>
          <w:sz w:val="24"/>
          <w:highlight w:val="none"/>
          <w:u w:val="single"/>
          <w:lang w:val="zh-CN"/>
        </w:rPr>
        <w:t xml:space="preserve">   </w:t>
      </w:r>
      <w:r>
        <w:rPr>
          <w:rFonts w:hint="eastAsia" w:ascii="宋体" w:hAnsi="宋体"/>
          <w:color w:val="auto"/>
          <w:kern w:val="0"/>
          <w:sz w:val="24"/>
          <w:highlight w:val="none"/>
          <w:u w:val="single"/>
          <w:lang w:val="zh-CN"/>
        </w:rPr>
        <w:t>采购</w:t>
      </w:r>
      <w:r>
        <w:rPr>
          <w:rFonts w:hint="eastAsia" w:ascii="仿宋" w:hAnsi="仿宋"/>
          <w:color w:val="auto"/>
          <w:spacing w:val="6"/>
          <w:kern w:val="0"/>
          <w:sz w:val="24"/>
          <w:highlight w:val="none"/>
          <w:u w:val="single"/>
          <w:lang w:val="zh-CN"/>
        </w:rPr>
        <w:t xml:space="preserve">（编号： </w:t>
      </w:r>
      <w:r>
        <w:rPr>
          <w:rFonts w:ascii="仿宋" w:hAnsi="仿宋"/>
          <w:color w:val="auto"/>
          <w:spacing w:val="6"/>
          <w:kern w:val="0"/>
          <w:sz w:val="24"/>
          <w:highlight w:val="none"/>
          <w:u w:val="single"/>
          <w:lang w:val="zh-CN"/>
        </w:rPr>
        <w:t xml:space="preserve">      ）</w:t>
      </w:r>
      <w:r>
        <w:rPr>
          <w:rFonts w:hint="eastAsia" w:ascii="仿宋" w:hAnsi="仿宋"/>
          <w:color w:val="auto"/>
          <w:spacing w:val="6"/>
          <w:kern w:val="0"/>
          <w:sz w:val="24"/>
          <w:highlight w:val="none"/>
          <w:lang w:val="zh-CN"/>
        </w:rPr>
        <w:t>政府采购活动，经与本单位法人代表（负责人）联系确认，现就有关公平竞争事项郑重声明如下：</w:t>
      </w:r>
    </w:p>
    <w:p>
      <w:pPr>
        <w:widowControl/>
        <w:snapToGrid w:val="0"/>
        <w:spacing w:line="440" w:lineRule="exact"/>
        <w:rPr>
          <w:rFonts w:ascii="仿宋" w:eastAsia="仿宋"/>
          <w:color w:val="auto"/>
          <w:kern w:val="0"/>
          <w:sz w:val="24"/>
          <w:highlight w:val="none"/>
        </w:rPr>
      </w:pPr>
      <w:r>
        <w:rPr>
          <w:rFonts w:hint="eastAsia" w:ascii="仿宋" w:hAnsi="仿宋"/>
          <w:color w:val="auto"/>
          <w:kern w:val="0"/>
          <w:sz w:val="24"/>
          <w:highlight w:val="none"/>
        </w:rPr>
        <w:t>一、本单位与采购人之间</w:t>
      </w:r>
    </w:p>
    <w:p>
      <w:pPr>
        <w:widowControl/>
        <w:snapToGrid w:val="0"/>
        <w:spacing w:line="440" w:lineRule="exact"/>
        <w:ind w:left="454"/>
        <w:rPr>
          <w:rFonts w:ascii="仿宋" w:eastAsia="仿宋"/>
          <w:color w:val="auto"/>
          <w:kern w:val="0"/>
          <w:sz w:val="24"/>
          <w:highlight w:val="none"/>
        </w:rPr>
      </w:pPr>
      <w:r>
        <w:rPr>
          <w:rFonts w:hint="eastAsia" w:ascii="宋体" w:hAnsi="宋体" w:cs="宋体"/>
          <w:color w:val="auto"/>
          <w:kern w:val="0"/>
          <w:sz w:val="24"/>
          <w:highlight w:val="none"/>
        </w:rPr>
        <w:t>□</w:t>
      </w:r>
      <w:r>
        <w:rPr>
          <w:rFonts w:hint="eastAsia" w:ascii="仿宋" w:hAnsi="仿宋"/>
          <w:color w:val="auto"/>
          <w:kern w:val="0"/>
          <w:sz w:val="24"/>
          <w:highlight w:val="none"/>
        </w:rPr>
        <w:t>不存在利害关系</w:t>
      </w:r>
    </w:p>
    <w:p>
      <w:pPr>
        <w:widowControl/>
        <w:snapToGrid w:val="0"/>
        <w:spacing w:line="440" w:lineRule="exact"/>
        <w:ind w:left="454"/>
        <w:rPr>
          <w:rFonts w:ascii="仿宋" w:eastAsia="仿宋"/>
          <w:color w:val="auto"/>
          <w:kern w:val="0"/>
          <w:sz w:val="24"/>
          <w:highlight w:val="none"/>
        </w:rPr>
      </w:pPr>
      <w:r>
        <w:rPr>
          <w:rFonts w:hint="eastAsia" w:ascii="宋体" w:hAnsi="宋体" w:cs="宋体"/>
          <w:color w:val="auto"/>
          <w:kern w:val="0"/>
          <w:sz w:val="24"/>
          <w:highlight w:val="none"/>
        </w:rPr>
        <w:t>□</w:t>
      </w:r>
      <w:r>
        <w:rPr>
          <w:rFonts w:hint="eastAsia" w:ascii="仿宋" w:hAnsi="仿宋"/>
          <w:color w:val="auto"/>
          <w:kern w:val="0"/>
          <w:sz w:val="24"/>
          <w:highlight w:val="none"/>
        </w:rPr>
        <w:t>存在下列利害关系：</w:t>
      </w:r>
    </w:p>
    <w:p>
      <w:pPr>
        <w:widowControl/>
        <w:snapToGrid w:val="0"/>
        <w:spacing w:line="440" w:lineRule="exact"/>
        <w:rPr>
          <w:rFonts w:ascii="仿宋" w:eastAsia="仿宋"/>
          <w:color w:val="auto"/>
          <w:kern w:val="0"/>
          <w:sz w:val="24"/>
          <w:highlight w:val="none"/>
        </w:rPr>
      </w:pPr>
      <w:r>
        <w:rPr>
          <w:rFonts w:ascii="仿宋" w:hAnsi="仿宋"/>
          <w:color w:val="auto"/>
          <w:kern w:val="0"/>
          <w:sz w:val="24"/>
          <w:highlight w:val="none"/>
        </w:rPr>
        <w:t xml:space="preserve">  A.</w:t>
      </w:r>
      <w:r>
        <w:rPr>
          <w:rFonts w:hint="eastAsia" w:ascii="仿宋" w:hAnsi="仿宋"/>
          <w:color w:val="auto"/>
          <w:kern w:val="0"/>
          <w:sz w:val="24"/>
          <w:highlight w:val="none"/>
        </w:rPr>
        <w:t>投资关系</w:t>
      </w:r>
      <w:r>
        <w:rPr>
          <w:rFonts w:ascii="仿宋" w:hAnsi="仿宋"/>
          <w:color w:val="auto"/>
          <w:kern w:val="0"/>
          <w:sz w:val="24"/>
          <w:highlight w:val="none"/>
        </w:rPr>
        <w:t xml:space="preserve">    B.</w:t>
      </w:r>
      <w:r>
        <w:rPr>
          <w:rFonts w:hint="eastAsia" w:ascii="仿宋" w:hAnsi="仿宋"/>
          <w:color w:val="auto"/>
          <w:kern w:val="0"/>
          <w:sz w:val="24"/>
          <w:highlight w:val="none"/>
        </w:rPr>
        <w:t>行政隶属关系</w:t>
      </w:r>
      <w:r>
        <w:rPr>
          <w:rFonts w:ascii="仿宋" w:hAnsi="仿宋"/>
          <w:color w:val="auto"/>
          <w:kern w:val="0"/>
          <w:sz w:val="24"/>
          <w:highlight w:val="none"/>
        </w:rPr>
        <w:t xml:space="preserve">    C.</w:t>
      </w:r>
      <w:r>
        <w:rPr>
          <w:rFonts w:hint="eastAsia" w:ascii="仿宋" w:hAnsi="仿宋"/>
          <w:color w:val="auto"/>
          <w:kern w:val="0"/>
          <w:sz w:val="24"/>
          <w:highlight w:val="none"/>
        </w:rPr>
        <w:t>业务指导关系</w:t>
      </w:r>
    </w:p>
    <w:p>
      <w:pPr>
        <w:widowControl/>
        <w:snapToGrid w:val="0"/>
        <w:spacing w:line="440" w:lineRule="exact"/>
        <w:rPr>
          <w:rFonts w:ascii="仿宋" w:eastAsia="仿宋"/>
          <w:color w:val="auto"/>
          <w:kern w:val="0"/>
          <w:sz w:val="24"/>
          <w:highlight w:val="none"/>
        </w:rPr>
      </w:pPr>
      <w:r>
        <w:rPr>
          <w:rFonts w:ascii="仿宋" w:hAnsi="仿宋"/>
          <w:color w:val="auto"/>
          <w:kern w:val="0"/>
          <w:sz w:val="24"/>
          <w:highlight w:val="none"/>
        </w:rPr>
        <w:t xml:space="preserve">  D.</w:t>
      </w:r>
      <w:r>
        <w:rPr>
          <w:rFonts w:hint="eastAsia" w:ascii="仿宋" w:hAnsi="仿宋"/>
          <w:color w:val="auto"/>
          <w:kern w:val="0"/>
          <w:sz w:val="24"/>
          <w:highlight w:val="none"/>
        </w:rPr>
        <w:t>其他可能</w:t>
      </w:r>
      <w:r>
        <w:rPr>
          <w:rFonts w:hint="eastAsia" w:ascii="仿宋" w:hAnsi="仿宋"/>
          <w:color w:val="auto"/>
          <w:sz w:val="24"/>
          <w:highlight w:val="none"/>
        </w:rPr>
        <w:t>影响采购公正的</w:t>
      </w:r>
      <w:r>
        <w:rPr>
          <w:rFonts w:hint="eastAsia" w:ascii="仿宋" w:hAnsi="仿宋"/>
          <w:color w:val="auto"/>
          <w:kern w:val="0"/>
          <w:sz w:val="24"/>
          <w:highlight w:val="none"/>
        </w:rPr>
        <w:t>利害关系。</w:t>
      </w:r>
    </w:p>
    <w:p>
      <w:pPr>
        <w:widowControl/>
        <w:snapToGrid w:val="0"/>
        <w:spacing w:line="440" w:lineRule="exact"/>
        <w:rPr>
          <w:rFonts w:ascii="仿宋" w:eastAsia="仿宋"/>
          <w:color w:val="auto"/>
          <w:kern w:val="0"/>
          <w:sz w:val="24"/>
          <w:highlight w:val="none"/>
        </w:rPr>
      </w:pPr>
      <w:r>
        <w:rPr>
          <w:rFonts w:hint="eastAsia" w:ascii="仿宋" w:hAnsi="仿宋"/>
          <w:color w:val="auto"/>
          <w:spacing w:val="6"/>
          <w:sz w:val="24"/>
          <w:highlight w:val="none"/>
        </w:rPr>
        <w:t>二、</w:t>
      </w:r>
      <w:r>
        <w:rPr>
          <w:rFonts w:hint="eastAsia" w:ascii="仿宋" w:hAnsi="仿宋"/>
          <w:color w:val="auto"/>
          <w:kern w:val="0"/>
          <w:sz w:val="24"/>
          <w:highlight w:val="none"/>
        </w:rPr>
        <w:t>现已清楚知道参加本项目采购活动的其他所有供应商名称，本单位</w:t>
      </w:r>
    </w:p>
    <w:p>
      <w:pPr>
        <w:widowControl/>
        <w:snapToGrid w:val="0"/>
        <w:spacing w:line="440" w:lineRule="exact"/>
        <w:ind w:firstLine="480" w:firstLineChars="200"/>
        <w:rPr>
          <w:rFonts w:ascii="仿宋" w:eastAsia="仿宋"/>
          <w:color w:val="auto"/>
          <w:kern w:val="0"/>
          <w:sz w:val="24"/>
          <w:highlight w:val="none"/>
        </w:rPr>
      </w:pPr>
      <w:r>
        <w:rPr>
          <w:rFonts w:hint="eastAsia" w:ascii="宋体" w:hAnsi="宋体" w:cs="宋体"/>
          <w:color w:val="auto"/>
          <w:kern w:val="0"/>
          <w:sz w:val="24"/>
          <w:highlight w:val="none"/>
        </w:rPr>
        <w:t>□与其他所有供应商之间均</w:t>
      </w:r>
      <w:r>
        <w:rPr>
          <w:rFonts w:hint="eastAsia" w:ascii="仿宋" w:hAnsi="仿宋"/>
          <w:color w:val="auto"/>
          <w:kern w:val="0"/>
          <w:sz w:val="24"/>
          <w:highlight w:val="none"/>
        </w:rPr>
        <w:t>不存在利害关系</w:t>
      </w:r>
    </w:p>
    <w:p>
      <w:pPr>
        <w:widowControl/>
        <w:snapToGrid w:val="0"/>
        <w:spacing w:line="440" w:lineRule="exact"/>
        <w:ind w:firstLine="480" w:firstLineChars="200"/>
        <w:rPr>
          <w:rFonts w:ascii="仿宋" w:eastAsia="仿宋"/>
          <w:color w:val="auto"/>
          <w:kern w:val="0"/>
          <w:sz w:val="24"/>
          <w:highlight w:val="none"/>
        </w:rPr>
      </w:pPr>
      <w:r>
        <w:rPr>
          <w:rFonts w:hint="eastAsia" w:ascii="宋体" w:hAnsi="宋体" w:cs="宋体"/>
          <w:color w:val="auto"/>
          <w:kern w:val="0"/>
          <w:sz w:val="24"/>
          <w:highlight w:val="none"/>
        </w:rPr>
        <w:t>□与之间</w:t>
      </w:r>
      <w:r>
        <w:rPr>
          <w:rFonts w:hint="eastAsia" w:ascii="仿宋" w:hAnsi="仿宋"/>
          <w:color w:val="auto"/>
          <w:kern w:val="0"/>
          <w:sz w:val="24"/>
          <w:highlight w:val="none"/>
        </w:rPr>
        <w:t>存在下列利害关系：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A.</w:t>
      </w:r>
      <w:r>
        <w:rPr>
          <w:rFonts w:hint="eastAsia" w:ascii="仿宋" w:hAnsi="仿宋"/>
          <w:color w:val="auto"/>
          <w:kern w:val="0"/>
          <w:sz w:val="24"/>
          <w:highlight w:val="none"/>
        </w:rPr>
        <w:t>法定代表人或负责人或实际控制人是同一人</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B.</w:t>
      </w:r>
      <w:r>
        <w:rPr>
          <w:rFonts w:hint="eastAsia" w:ascii="仿宋" w:hAnsi="仿宋"/>
          <w:color w:val="auto"/>
          <w:kern w:val="0"/>
          <w:sz w:val="24"/>
          <w:highlight w:val="none"/>
        </w:rPr>
        <w:t>法定代表人或负责人或实际控制人是夫妻关系</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C.</w:t>
      </w:r>
      <w:r>
        <w:rPr>
          <w:rFonts w:hint="eastAsia" w:ascii="仿宋" w:hAnsi="仿宋"/>
          <w:color w:val="auto"/>
          <w:kern w:val="0"/>
          <w:sz w:val="24"/>
          <w:highlight w:val="none"/>
        </w:rPr>
        <w:t>法定代表人或负责人或实际控制人是直系血亲关系</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D.</w:t>
      </w:r>
      <w:r>
        <w:rPr>
          <w:rFonts w:hint="eastAsia" w:ascii="仿宋" w:hAnsi="仿宋"/>
          <w:color w:val="auto"/>
          <w:kern w:val="0"/>
          <w:sz w:val="24"/>
          <w:highlight w:val="none"/>
        </w:rPr>
        <w:t>法定代表人或负责人或实际控制人存在三代以内旁系血亲关系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E.</w:t>
      </w:r>
      <w:r>
        <w:rPr>
          <w:rFonts w:hint="eastAsia" w:ascii="仿宋" w:hAnsi="仿宋"/>
          <w:color w:val="auto"/>
          <w:kern w:val="0"/>
          <w:sz w:val="24"/>
          <w:highlight w:val="none"/>
        </w:rPr>
        <w:t>法定代表人或负责人或实际控制人存在近姻亲关系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F.</w:t>
      </w:r>
      <w:r>
        <w:rPr>
          <w:rFonts w:hint="eastAsia" w:ascii="仿宋" w:hAnsi="仿宋"/>
          <w:color w:val="auto"/>
          <w:kern w:val="0"/>
          <w:sz w:val="24"/>
          <w:highlight w:val="none"/>
        </w:rPr>
        <w:t>法定代表人或负责人或实际控制人存在股份控制或实际控制关系</w:t>
      </w:r>
    </w:p>
    <w:p>
      <w:pPr>
        <w:snapToGrid w:val="0"/>
        <w:spacing w:line="440" w:lineRule="exact"/>
        <w:outlineLvl w:val="0"/>
        <w:rPr>
          <w:rFonts w:ascii="仿宋" w:hAnsi="Courier New" w:eastAsia="仿宋"/>
          <w:color w:val="auto"/>
          <w:kern w:val="0"/>
          <w:sz w:val="24"/>
          <w:highlight w:val="none"/>
        </w:rPr>
      </w:pPr>
      <w:r>
        <w:rPr>
          <w:rFonts w:ascii="仿宋" w:hAnsi="仿宋"/>
          <w:color w:val="auto"/>
          <w:kern w:val="0"/>
          <w:sz w:val="24"/>
          <w:highlight w:val="none"/>
        </w:rPr>
        <w:t xml:space="preserve">  </w:t>
      </w:r>
      <w:bookmarkStart w:id="100" w:name="_Toc17234"/>
      <w:r>
        <w:rPr>
          <w:rFonts w:ascii="仿宋" w:hAnsi="仿宋"/>
          <w:color w:val="auto"/>
          <w:kern w:val="0"/>
          <w:sz w:val="24"/>
          <w:highlight w:val="none"/>
        </w:rPr>
        <w:t>G.</w:t>
      </w:r>
      <w:r>
        <w:rPr>
          <w:rFonts w:hint="eastAsia" w:ascii="仿宋" w:hAnsi="仿宋"/>
          <w:color w:val="auto"/>
          <w:kern w:val="0"/>
          <w:sz w:val="24"/>
          <w:highlight w:val="none"/>
        </w:rPr>
        <w:t>存在共同直接或间接投资设立子公司、联营企业和合营企业情况</w:t>
      </w:r>
      <w:bookmarkEnd w:id="100"/>
    </w:p>
    <w:p>
      <w:pPr>
        <w:snapToGrid w:val="0"/>
        <w:spacing w:line="440" w:lineRule="exact"/>
        <w:rPr>
          <w:rFonts w:ascii="仿宋" w:hAnsi="Courier New" w:eastAsia="仿宋"/>
          <w:color w:val="auto"/>
          <w:sz w:val="24"/>
          <w:highlight w:val="none"/>
        </w:rPr>
      </w:pPr>
      <w:r>
        <w:rPr>
          <w:rFonts w:ascii="仿宋" w:hAnsi="仿宋"/>
          <w:color w:val="auto"/>
          <w:kern w:val="0"/>
          <w:sz w:val="24"/>
          <w:highlight w:val="none"/>
        </w:rPr>
        <w:t xml:space="preserve">  H.</w:t>
      </w:r>
      <w:r>
        <w:rPr>
          <w:rFonts w:hint="eastAsia" w:ascii="仿宋" w:hAnsi="仿宋"/>
          <w:color w:val="auto"/>
          <w:kern w:val="0"/>
          <w:sz w:val="24"/>
          <w:highlight w:val="none"/>
        </w:rPr>
        <w:t>存在分级代理或代销关系、同一生产制造商关系、</w:t>
      </w:r>
      <w:r>
        <w:rPr>
          <w:rFonts w:hint="eastAsia" w:ascii="仿宋" w:hAnsi="仿宋"/>
          <w:color w:val="auto"/>
          <w:sz w:val="24"/>
          <w:highlight w:val="none"/>
        </w:rPr>
        <w:t>管理关系、重要业务（占主营业务收入</w:t>
      </w:r>
      <w:r>
        <w:rPr>
          <w:rFonts w:ascii="仿宋" w:hAnsi="仿宋"/>
          <w:color w:val="auto"/>
          <w:sz w:val="24"/>
          <w:highlight w:val="none"/>
        </w:rPr>
        <w:t>50%</w:t>
      </w:r>
      <w:r>
        <w:rPr>
          <w:rFonts w:hint="eastAsia" w:ascii="仿宋" w:hAnsi="仿宋"/>
          <w:color w:val="auto"/>
          <w:sz w:val="24"/>
          <w:highlight w:val="none"/>
        </w:rPr>
        <w:t>以上）或重要财务往来关系（如融资）等其他实质性控制关系</w:t>
      </w:r>
    </w:p>
    <w:p>
      <w:pPr>
        <w:snapToGrid w:val="0"/>
        <w:spacing w:line="440" w:lineRule="exact"/>
        <w:outlineLvl w:val="0"/>
        <w:rPr>
          <w:rFonts w:ascii="仿宋" w:hAnsi="Courier New" w:eastAsia="仿宋"/>
          <w:color w:val="auto"/>
          <w:spacing w:val="6"/>
          <w:sz w:val="24"/>
          <w:highlight w:val="none"/>
        </w:rPr>
      </w:pPr>
      <w:bookmarkStart w:id="101" w:name="_Toc13558"/>
      <w:r>
        <w:rPr>
          <w:rFonts w:ascii="仿宋" w:hAnsi="仿宋"/>
          <w:color w:val="auto"/>
          <w:sz w:val="24"/>
          <w:highlight w:val="none"/>
        </w:rPr>
        <w:t>I</w:t>
      </w:r>
      <w:r>
        <w:rPr>
          <w:rFonts w:ascii="仿宋" w:hAnsi="Courier New" w:eastAsia="仿宋"/>
          <w:color w:val="auto"/>
          <w:kern w:val="0"/>
          <w:sz w:val="24"/>
          <w:highlight w:val="none"/>
        </w:rPr>
        <w:t>.</w:t>
      </w:r>
      <w:r>
        <w:rPr>
          <w:rFonts w:hint="eastAsia" w:ascii="仿宋" w:hAnsi="仿宋"/>
          <w:color w:val="auto"/>
          <w:sz w:val="24"/>
          <w:highlight w:val="none"/>
        </w:rPr>
        <w:t>其他利害关系情况</w:t>
      </w:r>
      <w:r>
        <w:rPr>
          <w:rFonts w:hint="eastAsia" w:ascii="仿宋" w:hAnsi="仿宋"/>
          <w:color w:val="auto"/>
          <w:kern w:val="0"/>
          <w:sz w:val="24"/>
          <w:highlight w:val="none"/>
        </w:rPr>
        <w:t>。</w:t>
      </w:r>
      <w:bookmarkEnd w:id="101"/>
    </w:p>
    <w:p>
      <w:pPr>
        <w:widowControl/>
        <w:snapToGrid w:val="0"/>
        <w:spacing w:line="440" w:lineRule="exact"/>
        <w:rPr>
          <w:rFonts w:ascii="仿宋" w:eastAsia="仿宋"/>
          <w:color w:val="auto"/>
          <w:kern w:val="0"/>
          <w:sz w:val="24"/>
          <w:highlight w:val="none"/>
        </w:rPr>
      </w:pPr>
      <w:r>
        <w:rPr>
          <w:rFonts w:hint="eastAsia" w:ascii="仿宋" w:hAnsi="仿宋"/>
          <w:color w:val="auto"/>
          <w:sz w:val="24"/>
          <w:highlight w:val="none"/>
        </w:rPr>
        <w:t>三、现已清楚知道并</w:t>
      </w:r>
      <w:r>
        <w:rPr>
          <w:rFonts w:hint="eastAsia" w:ascii="仿宋" w:hAnsi="仿宋"/>
          <w:color w:val="auto"/>
          <w:kern w:val="0"/>
          <w:sz w:val="24"/>
          <w:highlight w:val="none"/>
        </w:rPr>
        <w:t>严格遵守政府采购法律法规和现场纪律。</w:t>
      </w:r>
    </w:p>
    <w:p>
      <w:pPr>
        <w:widowControl/>
        <w:snapToGrid w:val="0"/>
        <w:spacing w:line="440" w:lineRule="exact"/>
        <w:rPr>
          <w:rFonts w:ascii="仿宋" w:hAnsi="仿宋"/>
          <w:color w:val="auto"/>
          <w:kern w:val="0"/>
          <w:sz w:val="24"/>
          <w:highlight w:val="none"/>
        </w:rPr>
      </w:pPr>
      <w:r>
        <w:rPr>
          <w:rFonts w:hint="eastAsia" w:ascii="仿宋" w:hAnsi="仿宋"/>
          <w:color w:val="auto"/>
          <w:kern w:val="0"/>
          <w:sz w:val="24"/>
          <w:highlight w:val="none"/>
        </w:rPr>
        <w:t>四、我发现供应商之间存在或可能存在上述第二条第项利害关系。</w:t>
      </w:r>
    </w:p>
    <w:p>
      <w:pPr>
        <w:widowControl/>
        <w:snapToGrid w:val="0"/>
        <w:spacing w:line="440" w:lineRule="exact"/>
        <w:rPr>
          <w:rFonts w:ascii="宋体" w:hAnsi="宋体"/>
          <w:color w:val="auto"/>
          <w:kern w:val="0"/>
          <w:sz w:val="24"/>
          <w:highlight w:val="none"/>
        </w:rPr>
      </w:pPr>
      <w:r>
        <w:rPr>
          <w:rFonts w:hint="eastAsia" w:ascii="宋体" w:hAnsi="宋体"/>
          <w:color w:val="auto"/>
          <w:kern w:val="0"/>
          <w:sz w:val="24"/>
          <w:highlight w:val="none"/>
        </w:rPr>
        <w:t>□不存在利害关系</w:t>
      </w:r>
    </w:p>
    <w:p>
      <w:pPr>
        <w:widowControl/>
        <w:snapToGrid w:val="0"/>
        <w:spacing w:line="440" w:lineRule="exact"/>
        <w:rPr>
          <w:rFonts w:ascii="宋体" w:hAnsi="宋体"/>
          <w:color w:val="auto"/>
          <w:kern w:val="0"/>
          <w:sz w:val="24"/>
          <w:highlight w:val="none"/>
        </w:rPr>
      </w:pPr>
      <w:r>
        <w:rPr>
          <w:rFonts w:hint="eastAsia" w:ascii="宋体" w:hAnsi="宋体"/>
          <w:color w:val="auto"/>
          <w:kern w:val="0"/>
          <w:sz w:val="24"/>
          <w:highlight w:val="none"/>
        </w:rPr>
        <w:t>□存在下列利害关系</w:t>
      </w:r>
    </w:p>
    <w:p>
      <w:pPr>
        <w:snapToGrid w:val="0"/>
        <w:spacing w:line="500" w:lineRule="exact"/>
        <w:ind w:firstLine="482" w:firstLineChars="200"/>
        <w:rPr>
          <w:rFonts w:ascii="仿宋" w:hAnsi="Courier New" w:eastAsia="仿宋"/>
          <w:b/>
          <w:color w:val="auto"/>
          <w:sz w:val="24"/>
          <w:highlight w:val="none"/>
        </w:rPr>
      </w:pPr>
      <w:r>
        <w:rPr>
          <w:rFonts w:hint="eastAsia" w:ascii="仿宋" w:hAnsi="仿宋"/>
          <w:b/>
          <w:color w:val="auto"/>
          <w:sz w:val="24"/>
          <w:highlight w:val="none"/>
        </w:rPr>
        <w:t>供应商代表签名：</w:t>
      </w:r>
    </w:p>
    <w:p>
      <w:pPr>
        <w:ind w:firstLine="3840" w:firstLineChars="1600"/>
        <w:rPr>
          <w:rFonts w:ascii="仿宋" w:eastAsia="仿宋"/>
          <w:color w:val="auto"/>
          <w:sz w:val="24"/>
          <w:highlight w:val="none"/>
        </w:rPr>
      </w:pPr>
    </w:p>
    <w:p>
      <w:pPr>
        <w:ind w:firstLine="5880" w:firstLineChars="2450"/>
        <w:rPr>
          <w:color w:val="auto"/>
          <w:highlight w:val="none"/>
        </w:rPr>
      </w:pPr>
      <w:r>
        <w:rPr>
          <w:rFonts w:hint="eastAsia" w:ascii="仿宋" w:hAnsi="仿宋"/>
          <w:color w:val="auto"/>
          <w:sz w:val="24"/>
          <w:highlight w:val="none"/>
        </w:rPr>
        <w:t>年</w:t>
      </w:r>
      <w:r>
        <w:rPr>
          <w:rFonts w:ascii="仿宋" w:hAnsi="仿宋"/>
          <w:color w:val="auto"/>
          <w:sz w:val="24"/>
          <w:highlight w:val="none"/>
        </w:rPr>
        <w:t xml:space="preserve">  </w:t>
      </w:r>
      <w:r>
        <w:rPr>
          <w:rFonts w:hint="eastAsia" w:ascii="仿宋" w:hAnsi="仿宋"/>
          <w:color w:val="auto"/>
          <w:sz w:val="24"/>
          <w:highlight w:val="none"/>
        </w:rPr>
        <w:t>月</w:t>
      </w:r>
      <w:r>
        <w:rPr>
          <w:rFonts w:ascii="仿宋" w:hAnsi="仿宋"/>
          <w:color w:val="auto"/>
          <w:sz w:val="24"/>
          <w:highlight w:val="none"/>
        </w:rPr>
        <w:t xml:space="preserve">   </w:t>
      </w:r>
      <w:r>
        <w:rPr>
          <w:rFonts w:hint="eastAsia" w:ascii="仿宋" w:hAnsi="仿宋"/>
          <w:color w:val="auto"/>
          <w:sz w:val="24"/>
          <w:highlight w:val="none"/>
        </w:rPr>
        <w:t>日</w:t>
      </w:r>
    </w:p>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00" w:usb3="00000000" w:csb0="00040000" w:csb1="00000000"/>
  </w:font>
  <w:font w:name="Helvetica">
    <w:altName w:val="Arial"/>
    <w:panose1 w:val="00000000000000000000"/>
    <w:charset w:val="00"/>
    <w:family w:val="swiss"/>
    <w:pitch w:val="default"/>
    <w:sig w:usb0="00000000" w:usb1="00000000" w:usb2="00000000" w:usb3="00000000" w:csb0="2000019F" w:csb1="4F01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9"/>
      </w:pPr>
      <w:r>
        <w:rPr>
          <w:rStyle w:val="32"/>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sz w:val="1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kern w:val="0"/>
                              <w:sz w:val="18"/>
                              <w:u w:val="single"/>
                            </w:rPr>
                            <w:t xml:space="preserve">       </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5</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91</w:t>
                          </w:r>
                          <w:r>
                            <w:rPr>
                              <w:b/>
                              <w:i/>
                              <w:color w:val="000000"/>
                              <w:spacing w:val="-20"/>
                              <w:kern w:val="0"/>
                              <w:sz w:val="18"/>
                              <w:u w:val="single"/>
                            </w:rPr>
                            <w:fldChar w:fldCharType="end"/>
                          </w:r>
                          <w:r>
                            <w:rPr>
                              <w:rFonts w:hint="eastAsia"/>
                              <w:b/>
                              <w:i/>
                              <w:color w:val="000000"/>
                              <w:spacing w:val="-20"/>
                              <w:kern w:val="0"/>
                              <w:sz w:val="18"/>
                              <w:u w:val="single"/>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pacing w:line="20" w:lineRule="atLeast"/>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kern w:val="0"/>
                        <w:sz w:val="18"/>
                        <w:u w:val="single"/>
                      </w:rPr>
                      <w:t xml:space="preserve">       </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5</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91</w:t>
                    </w:r>
                    <w:r>
                      <w:rPr>
                        <w:b/>
                        <w:i/>
                        <w:color w:val="000000"/>
                        <w:spacing w:val="-20"/>
                        <w:kern w:val="0"/>
                        <w:sz w:val="18"/>
                        <w:u w:val="single"/>
                      </w:rPr>
                      <w:fldChar w:fldCharType="end"/>
                    </w:r>
                    <w:r>
                      <w:rPr>
                        <w:rFonts w:hint="eastAsia"/>
                        <w:b/>
                        <w:i/>
                        <w:color w:val="000000"/>
                        <w:spacing w:val="-20"/>
                        <w:kern w:val="0"/>
                        <w:sz w:val="18"/>
                        <w:u w:val="single"/>
                      </w:rPr>
                      <w:t>页</w:t>
                    </w:r>
                  </w:p>
                </w:txbxContent>
              </v:textbox>
            </v:shape>
          </w:pict>
        </mc:Fallback>
      </mc:AlternateContent>
    </w:r>
  </w:p>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6"/>
      <w:lvlText w:val="%1."/>
      <w:lvlJc w:val="left"/>
      <w:pPr>
        <w:tabs>
          <w:tab w:val="left" w:pos="360"/>
        </w:tabs>
        <w:ind w:left="360" w:hanging="360"/>
      </w:pPr>
      <w:rPr>
        <w:rFonts w:cs="Times New Roman"/>
      </w:rPr>
    </w:lvl>
  </w:abstractNum>
  <w:abstractNum w:abstractNumId="1">
    <w:nsid w:val="5DA0210A"/>
    <w:multiLevelType w:val="singleLevel"/>
    <w:tmpl w:val="5DA02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0E970358"/>
    <w:rsid w:val="00005413"/>
    <w:rsid w:val="00016260"/>
    <w:rsid w:val="0002035B"/>
    <w:rsid w:val="00035BBF"/>
    <w:rsid w:val="000403F7"/>
    <w:rsid w:val="0006294D"/>
    <w:rsid w:val="00062AB3"/>
    <w:rsid w:val="000630DA"/>
    <w:rsid w:val="0008319A"/>
    <w:rsid w:val="000B5954"/>
    <w:rsid w:val="000D3DB9"/>
    <w:rsid w:val="00107BF6"/>
    <w:rsid w:val="00122D9D"/>
    <w:rsid w:val="001334F2"/>
    <w:rsid w:val="001358F3"/>
    <w:rsid w:val="00165F2A"/>
    <w:rsid w:val="00180836"/>
    <w:rsid w:val="00201D2F"/>
    <w:rsid w:val="00201D62"/>
    <w:rsid w:val="00203C2F"/>
    <w:rsid w:val="0021318F"/>
    <w:rsid w:val="00241352"/>
    <w:rsid w:val="0024774D"/>
    <w:rsid w:val="00282F31"/>
    <w:rsid w:val="002A1620"/>
    <w:rsid w:val="002B7C59"/>
    <w:rsid w:val="003102FB"/>
    <w:rsid w:val="0033011F"/>
    <w:rsid w:val="00332E30"/>
    <w:rsid w:val="00353DAF"/>
    <w:rsid w:val="00394F4B"/>
    <w:rsid w:val="003C020E"/>
    <w:rsid w:val="003C5E00"/>
    <w:rsid w:val="003C695E"/>
    <w:rsid w:val="003D7BE5"/>
    <w:rsid w:val="003E6DE1"/>
    <w:rsid w:val="003F595C"/>
    <w:rsid w:val="003F78E0"/>
    <w:rsid w:val="00436811"/>
    <w:rsid w:val="00441FAE"/>
    <w:rsid w:val="00446CEF"/>
    <w:rsid w:val="004625C4"/>
    <w:rsid w:val="004668E7"/>
    <w:rsid w:val="004705F2"/>
    <w:rsid w:val="00491BDF"/>
    <w:rsid w:val="004A4D2C"/>
    <w:rsid w:val="004B4165"/>
    <w:rsid w:val="004D39C5"/>
    <w:rsid w:val="00501A00"/>
    <w:rsid w:val="00531666"/>
    <w:rsid w:val="0053167D"/>
    <w:rsid w:val="00542F87"/>
    <w:rsid w:val="0058474E"/>
    <w:rsid w:val="005A367B"/>
    <w:rsid w:val="005B2E7A"/>
    <w:rsid w:val="0060359F"/>
    <w:rsid w:val="00616E31"/>
    <w:rsid w:val="00636172"/>
    <w:rsid w:val="00646CA0"/>
    <w:rsid w:val="006540F3"/>
    <w:rsid w:val="00655E3C"/>
    <w:rsid w:val="00674C42"/>
    <w:rsid w:val="0069544F"/>
    <w:rsid w:val="006B0123"/>
    <w:rsid w:val="006C1FEF"/>
    <w:rsid w:val="006E5A80"/>
    <w:rsid w:val="006F4DFE"/>
    <w:rsid w:val="0075349E"/>
    <w:rsid w:val="00783370"/>
    <w:rsid w:val="00793C81"/>
    <w:rsid w:val="007A2629"/>
    <w:rsid w:val="007C1005"/>
    <w:rsid w:val="007C427E"/>
    <w:rsid w:val="007D3D01"/>
    <w:rsid w:val="007F5FAF"/>
    <w:rsid w:val="00802325"/>
    <w:rsid w:val="008154BD"/>
    <w:rsid w:val="00823978"/>
    <w:rsid w:val="0084191F"/>
    <w:rsid w:val="00847BE5"/>
    <w:rsid w:val="0088066B"/>
    <w:rsid w:val="00891F71"/>
    <w:rsid w:val="008A4030"/>
    <w:rsid w:val="008C34C6"/>
    <w:rsid w:val="008E781F"/>
    <w:rsid w:val="00912983"/>
    <w:rsid w:val="00944004"/>
    <w:rsid w:val="00984F62"/>
    <w:rsid w:val="009A10DF"/>
    <w:rsid w:val="009B3E22"/>
    <w:rsid w:val="009D0424"/>
    <w:rsid w:val="009D449B"/>
    <w:rsid w:val="009F3459"/>
    <w:rsid w:val="009F36F6"/>
    <w:rsid w:val="00A012C9"/>
    <w:rsid w:val="00A12F71"/>
    <w:rsid w:val="00A17880"/>
    <w:rsid w:val="00A30B75"/>
    <w:rsid w:val="00A31560"/>
    <w:rsid w:val="00A51DCB"/>
    <w:rsid w:val="00A730CA"/>
    <w:rsid w:val="00A87798"/>
    <w:rsid w:val="00A956DD"/>
    <w:rsid w:val="00A968CC"/>
    <w:rsid w:val="00AA1AD0"/>
    <w:rsid w:val="00AF276E"/>
    <w:rsid w:val="00B0420E"/>
    <w:rsid w:val="00B278EC"/>
    <w:rsid w:val="00BE0ADF"/>
    <w:rsid w:val="00BF0251"/>
    <w:rsid w:val="00C44AFB"/>
    <w:rsid w:val="00C52E14"/>
    <w:rsid w:val="00C64775"/>
    <w:rsid w:val="00C767D4"/>
    <w:rsid w:val="00CB0437"/>
    <w:rsid w:val="00CC232E"/>
    <w:rsid w:val="00CD1804"/>
    <w:rsid w:val="00D264AC"/>
    <w:rsid w:val="00D5269F"/>
    <w:rsid w:val="00D63CE1"/>
    <w:rsid w:val="00D71644"/>
    <w:rsid w:val="00D86384"/>
    <w:rsid w:val="00DA25C4"/>
    <w:rsid w:val="00DB2B95"/>
    <w:rsid w:val="00DB6334"/>
    <w:rsid w:val="00DE78B4"/>
    <w:rsid w:val="00E319E7"/>
    <w:rsid w:val="00E372BC"/>
    <w:rsid w:val="00E8372C"/>
    <w:rsid w:val="00E910E5"/>
    <w:rsid w:val="00E9237F"/>
    <w:rsid w:val="00EF2797"/>
    <w:rsid w:val="00F127FF"/>
    <w:rsid w:val="00F64E95"/>
    <w:rsid w:val="00F74D1E"/>
    <w:rsid w:val="00F835F4"/>
    <w:rsid w:val="00F94869"/>
    <w:rsid w:val="00FB286E"/>
    <w:rsid w:val="00FF3B91"/>
    <w:rsid w:val="01037416"/>
    <w:rsid w:val="0162067B"/>
    <w:rsid w:val="016520F9"/>
    <w:rsid w:val="018F4C90"/>
    <w:rsid w:val="01935887"/>
    <w:rsid w:val="01F369FB"/>
    <w:rsid w:val="022010E6"/>
    <w:rsid w:val="02250A28"/>
    <w:rsid w:val="022F3D89"/>
    <w:rsid w:val="025F5180"/>
    <w:rsid w:val="026B5F45"/>
    <w:rsid w:val="03887300"/>
    <w:rsid w:val="039D7B38"/>
    <w:rsid w:val="03C727F0"/>
    <w:rsid w:val="04B50744"/>
    <w:rsid w:val="04CC341D"/>
    <w:rsid w:val="04F102C8"/>
    <w:rsid w:val="05036BE0"/>
    <w:rsid w:val="05137CD7"/>
    <w:rsid w:val="05B946F9"/>
    <w:rsid w:val="060B26E0"/>
    <w:rsid w:val="06445431"/>
    <w:rsid w:val="065522E1"/>
    <w:rsid w:val="06700138"/>
    <w:rsid w:val="071D6DDA"/>
    <w:rsid w:val="073D4ECF"/>
    <w:rsid w:val="075F206A"/>
    <w:rsid w:val="07913B64"/>
    <w:rsid w:val="07DF6194"/>
    <w:rsid w:val="084A7B62"/>
    <w:rsid w:val="085879B3"/>
    <w:rsid w:val="089905C2"/>
    <w:rsid w:val="08CE2541"/>
    <w:rsid w:val="08D64466"/>
    <w:rsid w:val="08DE7A29"/>
    <w:rsid w:val="08FB35A7"/>
    <w:rsid w:val="09170415"/>
    <w:rsid w:val="0919484B"/>
    <w:rsid w:val="09691BA7"/>
    <w:rsid w:val="096E28A4"/>
    <w:rsid w:val="09EF6C13"/>
    <w:rsid w:val="0A207EE3"/>
    <w:rsid w:val="0AB97872"/>
    <w:rsid w:val="0AD270D1"/>
    <w:rsid w:val="0ADB4F19"/>
    <w:rsid w:val="0B6F6C6A"/>
    <w:rsid w:val="0BA736BC"/>
    <w:rsid w:val="0BCA4FAC"/>
    <w:rsid w:val="0C1E2BA0"/>
    <w:rsid w:val="0C765CB2"/>
    <w:rsid w:val="0CB3275E"/>
    <w:rsid w:val="0CC82676"/>
    <w:rsid w:val="0D0C1110"/>
    <w:rsid w:val="0D0D122B"/>
    <w:rsid w:val="0D63324A"/>
    <w:rsid w:val="0D6B6C66"/>
    <w:rsid w:val="0D7709D1"/>
    <w:rsid w:val="0DAC1076"/>
    <w:rsid w:val="0DB14344"/>
    <w:rsid w:val="0E970358"/>
    <w:rsid w:val="0EC77D75"/>
    <w:rsid w:val="0F7725BC"/>
    <w:rsid w:val="0F81461E"/>
    <w:rsid w:val="10053DFB"/>
    <w:rsid w:val="10392EAE"/>
    <w:rsid w:val="103F136E"/>
    <w:rsid w:val="10706EC2"/>
    <w:rsid w:val="10DE01E7"/>
    <w:rsid w:val="114D620F"/>
    <w:rsid w:val="118F097E"/>
    <w:rsid w:val="11B94401"/>
    <w:rsid w:val="11D230A2"/>
    <w:rsid w:val="12163B4B"/>
    <w:rsid w:val="124E3B3B"/>
    <w:rsid w:val="125D753C"/>
    <w:rsid w:val="12807280"/>
    <w:rsid w:val="12B874F8"/>
    <w:rsid w:val="1312189C"/>
    <w:rsid w:val="13231701"/>
    <w:rsid w:val="13311F59"/>
    <w:rsid w:val="13763D70"/>
    <w:rsid w:val="13927375"/>
    <w:rsid w:val="13C7475D"/>
    <w:rsid w:val="13D51B32"/>
    <w:rsid w:val="13FB3DA5"/>
    <w:rsid w:val="13FC1BC3"/>
    <w:rsid w:val="148463E6"/>
    <w:rsid w:val="14AC4493"/>
    <w:rsid w:val="14D20D9B"/>
    <w:rsid w:val="14E65295"/>
    <w:rsid w:val="151439D2"/>
    <w:rsid w:val="159348F7"/>
    <w:rsid w:val="15A668CA"/>
    <w:rsid w:val="15A72BED"/>
    <w:rsid w:val="15EB1797"/>
    <w:rsid w:val="16105ED2"/>
    <w:rsid w:val="161C0D90"/>
    <w:rsid w:val="1621170E"/>
    <w:rsid w:val="16875127"/>
    <w:rsid w:val="16AF0512"/>
    <w:rsid w:val="16D8586C"/>
    <w:rsid w:val="177469AA"/>
    <w:rsid w:val="17DE6EBD"/>
    <w:rsid w:val="1836742B"/>
    <w:rsid w:val="184A17FC"/>
    <w:rsid w:val="18635C03"/>
    <w:rsid w:val="18745BAB"/>
    <w:rsid w:val="18820ED2"/>
    <w:rsid w:val="18B91D2B"/>
    <w:rsid w:val="18C40414"/>
    <w:rsid w:val="18E11A7C"/>
    <w:rsid w:val="19151DB8"/>
    <w:rsid w:val="192468BA"/>
    <w:rsid w:val="19BF6F33"/>
    <w:rsid w:val="19FF06CC"/>
    <w:rsid w:val="1A0E6B24"/>
    <w:rsid w:val="1A6A6D44"/>
    <w:rsid w:val="1A817123"/>
    <w:rsid w:val="1A8564E4"/>
    <w:rsid w:val="1AFD79A5"/>
    <w:rsid w:val="1B3409E4"/>
    <w:rsid w:val="1B394C19"/>
    <w:rsid w:val="1B674FFA"/>
    <w:rsid w:val="1B79633D"/>
    <w:rsid w:val="1BF400B9"/>
    <w:rsid w:val="1C093ECB"/>
    <w:rsid w:val="1C2A1FDB"/>
    <w:rsid w:val="1C3E389D"/>
    <w:rsid w:val="1C474BDF"/>
    <w:rsid w:val="1C9F5A8E"/>
    <w:rsid w:val="1CE4433A"/>
    <w:rsid w:val="1CE8448F"/>
    <w:rsid w:val="1D0A52C3"/>
    <w:rsid w:val="1DC530BD"/>
    <w:rsid w:val="1DD722C7"/>
    <w:rsid w:val="1DE30129"/>
    <w:rsid w:val="1E4110C2"/>
    <w:rsid w:val="1E4C7D38"/>
    <w:rsid w:val="1E58234F"/>
    <w:rsid w:val="1E7B0CB7"/>
    <w:rsid w:val="1E9955EF"/>
    <w:rsid w:val="1EDA17E8"/>
    <w:rsid w:val="1EE84AA8"/>
    <w:rsid w:val="1F0A52C1"/>
    <w:rsid w:val="1F453621"/>
    <w:rsid w:val="1F664E2A"/>
    <w:rsid w:val="1FB44255"/>
    <w:rsid w:val="201C3760"/>
    <w:rsid w:val="20DB34A3"/>
    <w:rsid w:val="20DC1314"/>
    <w:rsid w:val="213A47C0"/>
    <w:rsid w:val="21486EDD"/>
    <w:rsid w:val="216956E2"/>
    <w:rsid w:val="22386CB4"/>
    <w:rsid w:val="224D2C0C"/>
    <w:rsid w:val="22550718"/>
    <w:rsid w:val="228447E5"/>
    <w:rsid w:val="22A07E10"/>
    <w:rsid w:val="233143EE"/>
    <w:rsid w:val="23424F53"/>
    <w:rsid w:val="236E14E2"/>
    <w:rsid w:val="23AA29DA"/>
    <w:rsid w:val="23CA5A17"/>
    <w:rsid w:val="23FA1368"/>
    <w:rsid w:val="2407403D"/>
    <w:rsid w:val="24186BF6"/>
    <w:rsid w:val="24422580"/>
    <w:rsid w:val="248E4EE5"/>
    <w:rsid w:val="24EA31B9"/>
    <w:rsid w:val="24FE2F42"/>
    <w:rsid w:val="250F5651"/>
    <w:rsid w:val="255D1533"/>
    <w:rsid w:val="25C11B38"/>
    <w:rsid w:val="25E26A54"/>
    <w:rsid w:val="25E90F07"/>
    <w:rsid w:val="268A132E"/>
    <w:rsid w:val="26DE30DF"/>
    <w:rsid w:val="26F2167E"/>
    <w:rsid w:val="279250DD"/>
    <w:rsid w:val="27D6226B"/>
    <w:rsid w:val="28215C9F"/>
    <w:rsid w:val="288D1E5B"/>
    <w:rsid w:val="28D61B63"/>
    <w:rsid w:val="28E64005"/>
    <w:rsid w:val="29033920"/>
    <w:rsid w:val="29325462"/>
    <w:rsid w:val="293D28A2"/>
    <w:rsid w:val="29744295"/>
    <w:rsid w:val="29C966E1"/>
    <w:rsid w:val="29D148D0"/>
    <w:rsid w:val="2A0B5A0B"/>
    <w:rsid w:val="2A4665A4"/>
    <w:rsid w:val="2A8E1770"/>
    <w:rsid w:val="2AA450EF"/>
    <w:rsid w:val="2AB651B9"/>
    <w:rsid w:val="2AC803DC"/>
    <w:rsid w:val="2AD54F07"/>
    <w:rsid w:val="2AF71430"/>
    <w:rsid w:val="2B045C6D"/>
    <w:rsid w:val="2B520C88"/>
    <w:rsid w:val="2B67284F"/>
    <w:rsid w:val="2BE65676"/>
    <w:rsid w:val="2C3A0217"/>
    <w:rsid w:val="2D5C786C"/>
    <w:rsid w:val="2DB034A1"/>
    <w:rsid w:val="2E7D5CEC"/>
    <w:rsid w:val="2E953036"/>
    <w:rsid w:val="2F402F53"/>
    <w:rsid w:val="2F7D7C20"/>
    <w:rsid w:val="2FA21EAE"/>
    <w:rsid w:val="2FFF024B"/>
    <w:rsid w:val="300062B8"/>
    <w:rsid w:val="30057500"/>
    <w:rsid w:val="30143D85"/>
    <w:rsid w:val="303E0EE9"/>
    <w:rsid w:val="306C1617"/>
    <w:rsid w:val="309061AB"/>
    <w:rsid w:val="31192A64"/>
    <w:rsid w:val="316110D8"/>
    <w:rsid w:val="316A5F3C"/>
    <w:rsid w:val="31752B09"/>
    <w:rsid w:val="31851332"/>
    <w:rsid w:val="323A7CA1"/>
    <w:rsid w:val="32607DFF"/>
    <w:rsid w:val="33466FF4"/>
    <w:rsid w:val="341018E5"/>
    <w:rsid w:val="341548E3"/>
    <w:rsid w:val="35083828"/>
    <w:rsid w:val="359A53D6"/>
    <w:rsid w:val="359B739A"/>
    <w:rsid w:val="35A1280D"/>
    <w:rsid w:val="35F7732C"/>
    <w:rsid w:val="36623E0E"/>
    <w:rsid w:val="36A839CA"/>
    <w:rsid w:val="36C51D67"/>
    <w:rsid w:val="36F26727"/>
    <w:rsid w:val="37712A39"/>
    <w:rsid w:val="37924F0D"/>
    <w:rsid w:val="38837005"/>
    <w:rsid w:val="38910DEE"/>
    <w:rsid w:val="38912021"/>
    <w:rsid w:val="39697DDF"/>
    <w:rsid w:val="397B72CC"/>
    <w:rsid w:val="3AAA7E09"/>
    <w:rsid w:val="3AE50057"/>
    <w:rsid w:val="3AE50133"/>
    <w:rsid w:val="3B036495"/>
    <w:rsid w:val="3B345EA5"/>
    <w:rsid w:val="3B641BB6"/>
    <w:rsid w:val="3C2E2875"/>
    <w:rsid w:val="3C3E4D0D"/>
    <w:rsid w:val="3C4F152B"/>
    <w:rsid w:val="3C610D3E"/>
    <w:rsid w:val="3D002EB6"/>
    <w:rsid w:val="3D1275D3"/>
    <w:rsid w:val="3D49542E"/>
    <w:rsid w:val="3DB531EC"/>
    <w:rsid w:val="3DBB71E5"/>
    <w:rsid w:val="3DBF00CF"/>
    <w:rsid w:val="3F496613"/>
    <w:rsid w:val="3F4971D2"/>
    <w:rsid w:val="3F8238BE"/>
    <w:rsid w:val="3FBF5CA2"/>
    <w:rsid w:val="3FC0192A"/>
    <w:rsid w:val="3FC33065"/>
    <w:rsid w:val="3FDC260C"/>
    <w:rsid w:val="40D83598"/>
    <w:rsid w:val="411A3595"/>
    <w:rsid w:val="41785E5A"/>
    <w:rsid w:val="417B639B"/>
    <w:rsid w:val="41FB36A0"/>
    <w:rsid w:val="420358DF"/>
    <w:rsid w:val="42990067"/>
    <w:rsid w:val="42BE6BA7"/>
    <w:rsid w:val="42E54EF2"/>
    <w:rsid w:val="43036342"/>
    <w:rsid w:val="430E7A02"/>
    <w:rsid w:val="435412BA"/>
    <w:rsid w:val="435D51C4"/>
    <w:rsid w:val="436C3479"/>
    <w:rsid w:val="43D911A2"/>
    <w:rsid w:val="445601B7"/>
    <w:rsid w:val="44E23928"/>
    <w:rsid w:val="45137714"/>
    <w:rsid w:val="4563730C"/>
    <w:rsid w:val="456B496E"/>
    <w:rsid w:val="45D513DD"/>
    <w:rsid w:val="4665689E"/>
    <w:rsid w:val="46851352"/>
    <w:rsid w:val="471C3E9C"/>
    <w:rsid w:val="483104D0"/>
    <w:rsid w:val="48694FA0"/>
    <w:rsid w:val="488E768B"/>
    <w:rsid w:val="48965ED0"/>
    <w:rsid w:val="48993A53"/>
    <w:rsid w:val="48E64A08"/>
    <w:rsid w:val="48E9368C"/>
    <w:rsid w:val="48EE62AA"/>
    <w:rsid w:val="49472517"/>
    <w:rsid w:val="494A57EA"/>
    <w:rsid w:val="49D61B26"/>
    <w:rsid w:val="49F41D5E"/>
    <w:rsid w:val="4A7A39D1"/>
    <w:rsid w:val="4B0379EA"/>
    <w:rsid w:val="4B1E31F7"/>
    <w:rsid w:val="4B9C1A50"/>
    <w:rsid w:val="4BCB3573"/>
    <w:rsid w:val="4C3F0520"/>
    <w:rsid w:val="4CE75373"/>
    <w:rsid w:val="4D5934CA"/>
    <w:rsid w:val="4D5D3E14"/>
    <w:rsid w:val="4DA5534B"/>
    <w:rsid w:val="4DBA747C"/>
    <w:rsid w:val="4DEA4CF4"/>
    <w:rsid w:val="4DF166D7"/>
    <w:rsid w:val="4E1534AE"/>
    <w:rsid w:val="4EA478DF"/>
    <w:rsid w:val="4EB95CF7"/>
    <w:rsid w:val="4ED2056F"/>
    <w:rsid w:val="4F004459"/>
    <w:rsid w:val="4FAB0C6C"/>
    <w:rsid w:val="4FD21B8A"/>
    <w:rsid w:val="501F64E3"/>
    <w:rsid w:val="50611724"/>
    <w:rsid w:val="5090289D"/>
    <w:rsid w:val="509D0BFA"/>
    <w:rsid w:val="51612CF6"/>
    <w:rsid w:val="521D79BA"/>
    <w:rsid w:val="522C29C1"/>
    <w:rsid w:val="523F1387"/>
    <w:rsid w:val="53042AB2"/>
    <w:rsid w:val="54106EB5"/>
    <w:rsid w:val="54444A44"/>
    <w:rsid w:val="54471133"/>
    <w:rsid w:val="547514B9"/>
    <w:rsid w:val="54AF5941"/>
    <w:rsid w:val="54BF7963"/>
    <w:rsid w:val="551C1AFA"/>
    <w:rsid w:val="55BA4166"/>
    <w:rsid w:val="55C04A9F"/>
    <w:rsid w:val="55DA564E"/>
    <w:rsid w:val="561005DF"/>
    <w:rsid w:val="56547E4D"/>
    <w:rsid w:val="566D4B95"/>
    <w:rsid w:val="5682580A"/>
    <w:rsid w:val="572656D4"/>
    <w:rsid w:val="578671EF"/>
    <w:rsid w:val="584A0D06"/>
    <w:rsid w:val="58D2085F"/>
    <w:rsid w:val="59234CED"/>
    <w:rsid w:val="59AD06A4"/>
    <w:rsid w:val="59C3301E"/>
    <w:rsid w:val="5A402088"/>
    <w:rsid w:val="5A4D586D"/>
    <w:rsid w:val="5A6249B0"/>
    <w:rsid w:val="5A826B71"/>
    <w:rsid w:val="5AD88710"/>
    <w:rsid w:val="5AFD23E5"/>
    <w:rsid w:val="5B4A6DD2"/>
    <w:rsid w:val="5BDE1496"/>
    <w:rsid w:val="5C4B1FE8"/>
    <w:rsid w:val="5CC351A7"/>
    <w:rsid w:val="5CEA5281"/>
    <w:rsid w:val="5D006F55"/>
    <w:rsid w:val="5DA0376E"/>
    <w:rsid w:val="5DF146F9"/>
    <w:rsid w:val="5DF66D9E"/>
    <w:rsid w:val="5E411164"/>
    <w:rsid w:val="5E5D71A3"/>
    <w:rsid w:val="5E7D3761"/>
    <w:rsid w:val="5E85740C"/>
    <w:rsid w:val="5EAB55E1"/>
    <w:rsid w:val="5EE84C68"/>
    <w:rsid w:val="5F1F5383"/>
    <w:rsid w:val="5F273A8D"/>
    <w:rsid w:val="5FA703FC"/>
    <w:rsid w:val="602463B0"/>
    <w:rsid w:val="6026592A"/>
    <w:rsid w:val="607032D7"/>
    <w:rsid w:val="60910BFB"/>
    <w:rsid w:val="60E07B05"/>
    <w:rsid w:val="6132529A"/>
    <w:rsid w:val="61E628B7"/>
    <w:rsid w:val="61F44D02"/>
    <w:rsid w:val="621D5BA4"/>
    <w:rsid w:val="624D267E"/>
    <w:rsid w:val="62751B59"/>
    <w:rsid w:val="628A03FC"/>
    <w:rsid w:val="62A35101"/>
    <w:rsid w:val="630148A8"/>
    <w:rsid w:val="63197EAF"/>
    <w:rsid w:val="635B6748"/>
    <w:rsid w:val="63947A95"/>
    <w:rsid w:val="639C71F6"/>
    <w:rsid w:val="6401505A"/>
    <w:rsid w:val="648E5C86"/>
    <w:rsid w:val="64B45A97"/>
    <w:rsid w:val="64C5396E"/>
    <w:rsid w:val="65EA539D"/>
    <w:rsid w:val="661722D0"/>
    <w:rsid w:val="66F714D5"/>
    <w:rsid w:val="67386679"/>
    <w:rsid w:val="675114E9"/>
    <w:rsid w:val="676F49FF"/>
    <w:rsid w:val="67B05ABC"/>
    <w:rsid w:val="67B167D1"/>
    <w:rsid w:val="67DB0789"/>
    <w:rsid w:val="67E17416"/>
    <w:rsid w:val="67E33A6D"/>
    <w:rsid w:val="685F1C50"/>
    <w:rsid w:val="68E91FEF"/>
    <w:rsid w:val="693E7C52"/>
    <w:rsid w:val="699022E9"/>
    <w:rsid w:val="69F7592E"/>
    <w:rsid w:val="6A371444"/>
    <w:rsid w:val="6A416CEB"/>
    <w:rsid w:val="6A6119DD"/>
    <w:rsid w:val="6A714498"/>
    <w:rsid w:val="6AB94D4F"/>
    <w:rsid w:val="6B2E6809"/>
    <w:rsid w:val="6B5517F4"/>
    <w:rsid w:val="6B795A19"/>
    <w:rsid w:val="6C1625B8"/>
    <w:rsid w:val="6C2C61DC"/>
    <w:rsid w:val="6C8D206C"/>
    <w:rsid w:val="6DF950FF"/>
    <w:rsid w:val="6E35746E"/>
    <w:rsid w:val="6E387ED2"/>
    <w:rsid w:val="6E3A2CD6"/>
    <w:rsid w:val="6EEC2987"/>
    <w:rsid w:val="6F7506F0"/>
    <w:rsid w:val="6FC330B5"/>
    <w:rsid w:val="6FCD3E4D"/>
    <w:rsid w:val="700A3686"/>
    <w:rsid w:val="705D0EFE"/>
    <w:rsid w:val="706731A9"/>
    <w:rsid w:val="713B071E"/>
    <w:rsid w:val="71F8545C"/>
    <w:rsid w:val="727151E7"/>
    <w:rsid w:val="72A34B6F"/>
    <w:rsid w:val="72B33057"/>
    <w:rsid w:val="72C60D24"/>
    <w:rsid w:val="73013DC3"/>
    <w:rsid w:val="73854902"/>
    <w:rsid w:val="74033B6B"/>
    <w:rsid w:val="7444613E"/>
    <w:rsid w:val="745919C6"/>
    <w:rsid w:val="74676780"/>
    <w:rsid w:val="74702A9A"/>
    <w:rsid w:val="74F00593"/>
    <w:rsid w:val="74FFD7E1"/>
    <w:rsid w:val="755808FA"/>
    <w:rsid w:val="75745308"/>
    <w:rsid w:val="75CB690A"/>
    <w:rsid w:val="75D01E53"/>
    <w:rsid w:val="76081DD7"/>
    <w:rsid w:val="761C2BBB"/>
    <w:rsid w:val="76443A46"/>
    <w:rsid w:val="7671701C"/>
    <w:rsid w:val="768F4245"/>
    <w:rsid w:val="76B35606"/>
    <w:rsid w:val="76B70F42"/>
    <w:rsid w:val="76BF497A"/>
    <w:rsid w:val="772628C0"/>
    <w:rsid w:val="774065EE"/>
    <w:rsid w:val="774E15A1"/>
    <w:rsid w:val="7758241F"/>
    <w:rsid w:val="776A1DE8"/>
    <w:rsid w:val="77AA6501"/>
    <w:rsid w:val="78126A72"/>
    <w:rsid w:val="784B5AE0"/>
    <w:rsid w:val="785D00CA"/>
    <w:rsid w:val="788A6608"/>
    <w:rsid w:val="78AB1E41"/>
    <w:rsid w:val="78D02752"/>
    <w:rsid w:val="79A85B7C"/>
    <w:rsid w:val="7A350C22"/>
    <w:rsid w:val="7AA57BE5"/>
    <w:rsid w:val="7AE71001"/>
    <w:rsid w:val="7B1642C0"/>
    <w:rsid w:val="7B2A0E49"/>
    <w:rsid w:val="7B3927C7"/>
    <w:rsid w:val="7B9C5778"/>
    <w:rsid w:val="7CA37938"/>
    <w:rsid w:val="7CF9498E"/>
    <w:rsid w:val="7D05205F"/>
    <w:rsid w:val="7D2E648B"/>
    <w:rsid w:val="7D4150C5"/>
    <w:rsid w:val="7D6E784A"/>
    <w:rsid w:val="7D89270F"/>
    <w:rsid w:val="7DAB6A03"/>
    <w:rsid w:val="7DDD6CEA"/>
    <w:rsid w:val="7DED0920"/>
    <w:rsid w:val="7E361D29"/>
    <w:rsid w:val="7E627D6D"/>
    <w:rsid w:val="7E636E14"/>
    <w:rsid w:val="7ECD54A1"/>
    <w:rsid w:val="7F240251"/>
    <w:rsid w:val="7F32693E"/>
    <w:rsid w:val="7F5038BB"/>
    <w:rsid w:val="BE362C4E"/>
    <w:rsid w:val="C3FF8061"/>
    <w:rsid w:val="F6565C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qFormat="1" w:unhideWhenUsed="0" w:uiPriority="39" w:semiHidden="0" w:name="toc 4" w:locked="1"/>
    <w:lsdException w:uiPriority="39" w:name="toc 5" w:locked="1"/>
    <w:lsdException w:qFormat="1" w:unhideWhenUsed="0" w:uiPriority="3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7"/>
    <w:qFormat/>
    <w:uiPriority w:val="99"/>
    <w:pPr>
      <w:keepNext/>
      <w:keepLines/>
      <w:spacing w:before="260" w:after="260" w:line="416" w:lineRule="auto"/>
      <w:outlineLvl w:val="2"/>
    </w:pPr>
    <w:rPr>
      <w:b/>
      <w:bCs/>
      <w:sz w:val="32"/>
      <w:szCs w:val="32"/>
    </w:rPr>
  </w:style>
  <w:style w:type="paragraph" w:styleId="5">
    <w:name w:val="heading 4"/>
    <w:basedOn w:val="1"/>
    <w:next w:val="1"/>
    <w:unhideWhenUsed/>
    <w:qFormat/>
    <w:locked/>
    <w:uiPriority w:val="0"/>
    <w:pPr>
      <w:keepNext/>
      <w:keepLines/>
      <w:adjustRightInd w:val="0"/>
      <w:snapToGrid w:val="0"/>
      <w:spacing w:before="50" w:beforeLines="50" w:after="50" w:afterLines="50" w:line="360" w:lineRule="auto"/>
      <w:outlineLvl w:val="3"/>
    </w:pPr>
    <w:rPr>
      <w:rFonts w:ascii="Arial" w:hAnsi="Arial" w:eastAsia="黑体"/>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99"/>
    <w:pPr>
      <w:numPr>
        <w:ilvl w:val="0"/>
        <w:numId w:val="1"/>
      </w:numPr>
    </w:pPr>
  </w:style>
  <w:style w:type="paragraph" w:styleId="7">
    <w:name w:val="Normal Indent"/>
    <w:basedOn w:val="1"/>
    <w:next w:val="1"/>
    <w:qFormat/>
    <w:uiPriority w:val="99"/>
    <w:pPr>
      <w:ind w:firstLine="420"/>
    </w:pPr>
    <w:rPr>
      <w:szCs w:val="20"/>
    </w:rPr>
  </w:style>
  <w:style w:type="paragraph" w:styleId="8">
    <w:name w:val="annotation text"/>
    <w:basedOn w:val="1"/>
    <w:link w:val="39"/>
    <w:qFormat/>
    <w:uiPriority w:val="99"/>
    <w:pPr>
      <w:jc w:val="left"/>
    </w:pPr>
  </w:style>
  <w:style w:type="paragraph" w:styleId="9">
    <w:name w:val="Body Text"/>
    <w:basedOn w:val="1"/>
    <w:next w:val="10"/>
    <w:link w:val="38"/>
    <w:qFormat/>
    <w:uiPriority w:val="99"/>
    <w:pPr>
      <w:spacing w:line="360" w:lineRule="exact"/>
    </w:pPr>
    <w:rPr>
      <w:sz w:val="24"/>
    </w:rPr>
  </w:style>
  <w:style w:type="paragraph" w:styleId="10">
    <w:name w:val="Body Text First Indent"/>
    <w:basedOn w:val="9"/>
    <w:next w:val="1"/>
    <w:qFormat/>
    <w:locked/>
    <w:uiPriority w:val="99"/>
    <w:pPr>
      <w:ind w:firstLine="420"/>
    </w:pPr>
    <w:rPr>
      <w:sz w:val="21"/>
    </w:rPr>
  </w:style>
  <w:style w:type="paragraph" w:styleId="11">
    <w:name w:val="Body Text Indent"/>
    <w:basedOn w:val="1"/>
    <w:next w:val="1"/>
    <w:link w:val="40"/>
    <w:qFormat/>
    <w:uiPriority w:val="0"/>
    <w:pPr>
      <w:spacing w:after="120"/>
      <w:ind w:left="420" w:leftChars="200"/>
    </w:pPr>
  </w:style>
  <w:style w:type="paragraph" w:styleId="12">
    <w:name w:val="Block Text"/>
    <w:basedOn w:val="1"/>
    <w:next w:val="5"/>
    <w:qFormat/>
    <w:locked/>
    <w:uiPriority w:val="99"/>
    <w:pPr>
      <w:adjustRightInd w:val="0"/>
      <w:spacing w:line="300" w:lineRule="auto"/>
      <w:ind w:left="958" w:right="-120" w:rightChars="-120"/>
      <w:jc w:val="left"/>
    </w:pPr>
    <w:rPr>
      <w:rFonts w:ascii="宋体" w:hAnsi="宋体"/>
      <w:sz w:val="28"/>
    </w:rPr>
  </w:style>
  <w:style w:type="paragraph" w:styleId="13">
    <w:name w:val="Plain Text"/>
    <w:basedOn w:val="1"/>
    <w:next w:val="14"/>
    <w:link w:val="41"/>
    <w:qFormat/>
    <w:uiPriority w:val="0"/>
    <w:rPr>
      <w:rFonts w:ascii="宋体" w:hAnsi="Courier New"/>
    </w:rPr>
  </w:style>
  <w:style w:type="paragraph" w:styleId="14">
    <w:name w:val="Date"/>
    <w:basedOn w:val="1"/>
    <w:next w:val="1"/>
    <w:link w:val="42"/>
    <w:qFormat/>
    <w:uiPriority w:val="99"/>
    <w:pPr>
      <w:ind w:left="2500" w:leftChars="2500"/>
    </w:pPr>
    <w:rPr>
      <w:rFonts w:ascii="Calibri" w:hAnsi="Calibri" w:eastAsia="楷体_GB2312"/>
      <w:sz w:val="32"/>
      <w:szCs w:val="22"/>
    </w:rPr>
  </w:style>
  <w:style w:type="paragraph" w:styleId="15">
    <w:name w:val="Balloon Text"/>
    <w:basedOn w:val="1"/>
    <w:link w:val="43"/>
    <w:qFormat/>
    <w:uiPriority w:val="99"/>
    <w:rPr>
      <w:sz w:val="18"/>
      <w:szCs w:val="18"/>
    </w:rPr>
  </w:style>
  <w:style w:type="paragraph" w:styleId="16">
    <w:name w:val="footer"/>
    <w:basedOn w:val="1"/>
    <w:link w:val="44"/>
    <w:qFormat/>
    <w:uiPriority w:val="99"/>
    <w:pPr>
      <w:tabs>
        <w:tab w:val="center" w:pos="4153"/>
        <w:tab w:val="right" w:pos="8306"/>
      </w:tabs>
      <w:snapToGrid w:val="0"/>
      <w:jc w:val="left"/>
    </w:pPr>
    <w:rPr>
      <w:sz w:val="18"/>
    </w:rPr>
  </w:style>
  <w:style w:type="paragraph" w:styleId="17">
    <w:name w:val="header"/>
    <w:basedOn w:val="1"/>
    <w:link w:val="4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4"/>
    <w:basedOn w:val="1"/>
    <w:next w:val="1"/>
    <w:qFormat/>
    <w:locked/>
    <w:uiPriority w:val="39"/>
    <w:pPr>
      <w:widowControl/>
      <w:ind w:left="600"/>
      <w:jc w:val="left"/>
    </w:pPr>
    <w:rPr>
      <w:kern w:val="0"/>
      <w:sz w:val="18"/>
      <w:szCs w:val="20"/>
    </w:rPr>
  </w:style>
  <w:style w:type="paragraph" w:styleId="19">
    <w:name w:val="footnote text"/>
    <w:basedOn w:val="1"/>
    <w:semiHidden/>
    <w:unhideWhenUsed/>
    <w:qFormat/>
    <w:locked/>
    <w:uiPriority w:val="99"/>
    <w:pPr>
      <w:snapToGrid w:val="0"/>
      <w:jc w:val="left"/>
    </w:pPr>
    <w:rPr>
      <w:sz w:val="18"/>
    </w:rPr>
  </w:style>
  <w:style w:type="paragraph" w:styleId="20">
    <w:name w:val="toc 6"/>
    <w:basedOn w:val="1"/>
    <w:next w:val="1"/>
    <w:qFormat/>
    <w:locked/>
    <w:uiPriority w:val="39"/>
    <w:pPr>
      <w:widowControl/>
      <w:ind w:left="1000"/>
      <w:jc w:val="left"/>
    </w:pPr>
    <w:rPr>
      <w:kern w:val="0"/>
      <w:sz w:val="18"/>
      <w:szCs w:val="20"/>
    </w:rPr>
  </w:style>
  <w:style w:type="paragraph" w:styleId="21">
    <w:name w:val="toc 2"/>
    <w:basedOn w:val="1"/>
    <w:next w:val="1"/>
    <w:qFormat/>
    <w:uiPriority w:val="99"/>
    <w:pPr>
      <w:ind w:left="420" w:leftChars="200"/>
    </w:p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next w:val="1"/>
    <w:qFormat/>
    <w:locked/>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4">
    <w:name w:val="annotation subject"/>
    <w:basedOn w:val="8"/>
    <w:next w:val="8"/>
    <w:link w:val="46"/>
    <w:qFormat/>
    <w:uiPriority w:val="99"/>
    <w:rPr>
      <w:b/>
      <w:bCs/>
    </w:rPr>
  </w:style>
  <w:style w:type="paragraph" w:styleId="25">
    <w:name w:val="Body Text First Indent 2"/>
    <w:basedOn w:val="11"/>
    <w:next w:val="1"/>
    <w:qFormat/>
    <w:locked/>
    <w:uiPriority w:val="0"/>
    <w:pPr>
      <w:ind w:firstLine="420"/>
    </w:pPr>
  </w:style>
  <w:style w:type="table" w:styleId="27">
    <w:name w:val="Table Grid"/>
    <w:basedOn w:val="26"/>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qFormat/>
    <w:locked/>
    <w:uiPriority w:val="0"/>
  </w:style>
  <w:style w:type="character" w:styleId="30">
    <w:name w:val="Hyperlink"/>
    <w:basedOn w:val="28"/>
    <w:unhideWhenUsed/>
    <w:qFormat/>
    <w:locked/>
    <w:uiPriority w:val="99"/>
    <w:rPr>
      <w:color w:val="0000FF"/>
      <w:u w:val="single"/>
    </w:rPr>
  </w:style>
  <w:style w:type="character" w:styleId="31">
    <w:name w:val="annotation reference"/>
    <w:basedOn w:val="28"/>
    <w:qFormat/>
    <w:uiPriority w:val="99"/>
    <w:rPr>
      <w:rFonts w:cs="Times New Roman"/>
      <w:sz w:val="21"/>
      <w:szCs w:val="21"/>
    </w:rPr>
  </w:style>
  <w:style w:type="character" w:styleId="32">
    <w:name w:val="footnote reference"/>
    <w:basedOn w:val="28"/>
    <w:semiHidden/>
    <w:unhideWhenUsed/>
    <w:qFormat/>
    <w:locked/>
    <w:uiPriority w:val="99"/>
    <w:rPr>
      <w:vertAlign w:val="superscript"/>
    </w:rPr>
  </w:style>
  <w:style w:type="character" w:customStyle="1" w:styleId="33">
    <w:name w:val="标题 1 Char"/>
    <w:basedOn w:val="28"/>
    <w:link w:val="2"/>
    <w:qFormat/>
    <w:locked/>
    <w:uiPriority w:val="99"/>
    <w:rPr>
      <w:rFonts w:ascii="Times New Roman" w:hAnsi="Times New Roman" w:cs="Times New Roman"/>
      <w:b/>
      <w:bCs/>
      <w:kern w:val="44"/>
      <w:sz w:val="44"/>
      <w:szCs w:val="44"/>
    </w:rPr>
  </w:style>
  <w:style w:type="paragraph" w:customStyle="1" w:styleId="34">
    <w:name w:val="正文（首行缩进2字符）"/>
    <w:basedOn w:val="1"/>
    <w:qFormat/>
    <w:uiPriority w:val="0"/>
    <w:pPr>
      <w:spacing w:line="360" w:lineRule="auto"/>
      <w:ind w:firstLine="420" w:firstLineChars="200"/>
    </w:pPr>
    <w:rPr>
      <w:szCs w:val="21"/>
    </w:rPr>
  </w:style>
  <w:style w:type="paragraph" w:customStyle="1" w:styleId="35">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36">
    <w:name w:val="标题 2 Char"/>
    <w:basedOn w:val="28"/>
    <w:link w:val="3"/>
    <w:semiHidden/>
    <w:qFormat/>
    <w:locked/>
    <w:uiPriority w:val="99"/>
    <w:rPr>
      <w:rFonts w:ascii="Cambria" w:hAnsi="Cambria" w:eastAsia="宋体" w:cs="Times New Roman"/>
      <w:b/>
      <w:bCs/>
      <w:sz w:val="32"/>
      <w:szCs w:val="32"/>
    </w:rPr>
  </w:style>
  <w:style w:type="character" w:customStyle="1" w:styleId="37">
    <w:name w:val="标题 3 Char"/>
    <w:basedOn w:val="28"/>
    <w:link w:val="4"/>
    <w:semiHidden/>
    <w:qFormat/>
    <w:locked/>
    <w:uiPriority w:val="99"/>
    <w:rPr>
      <w:rFonts w:cs="Times New Roman"/>
      <w:b/>
      <w:bCs/>
      <w:sz w:val="32"/>
      <w:szCs w:val="32"/>
    </w:rPr>
  </w:style>
  <w:style w:type="character" w:customStyle="1" w:styleId="38">
    <w:name w:val="正文文本 Char"/>
    <w:basedOn w:val="28"/>
    <w:link w:val="9"/>
    <w:semiHidden/>
    <w:qFormat/>
    <w:locked/>
    <w:uiPriority w:val="99"/>
    <w:rPr>
      <w:rFonts w:cs="Times New Roman"/>
      <w:sz w:val="24"/>
      <w:szCs w:val="24"/>
    </w:rPr>
  </w:style>
  <w:style w:type="character" w:customStyle="1" w:styleId="39">
    <w:name w:val="批注文字 Char"/>
    <w:basedOn w:val="28"/>
    <w:link w:val="8"/>
    <w:qFormat/>
    <w:locked/>
    <w:uiPriority w:val="99"/>
    <w:rPr>
      <w:rFonts w:ascii="Times New Roman" w:hAnsi="Times New Roman" w:eastAsia="宋体" w:cs="Times New Roman"/>
      <w:kern w:val="2"/>
      <w:sz w:val="24"/>
      <w:szCs w:val="24"/>
    </w:rPr>
  </w:style>
  <w:style w:type="character" w:customStyle="1" w:styleId="40">
    <w:name w:val="正文文本缩进 Char"/>
    <w:basedOn w:val="28"/>
    <w:link w:val="11"/>
    <w:qFormat/>
    <w:locked/>
    <w:uiPriority w:val="0"/>
    <w:rPr>
      <w:rFonts w:cs="Times New Roman"/>
      <w:kern w:val="2"/>
      <w:sz w:val="24"/>
      <w:szCs w:val="24"/>
    </w:rPr>
  </w:style>
  <w:style w:type="character" w:customStyle="1" w:styleId="41">
    <w:name w:val="纯文本 Char"/>
    <w:basedOn w:val="28"/>
    <w:link w:val="13"/>
    <w:qFormat/>
    <w:locked/>
    <w:uiPriority w:val="0"/>
    <w:rPr>
      <w:rFonts w:ascii="宋体" w:hAnsi="Courier New" w:cs="Courier New"/>
      <w:sz w:val="21"/>
      <w:szCs w:val="21"/>
    </w:rPr>
  </w:style>
  <w:style w:type="character" w:customStyle="1" w:styleId="42">
    <w:name w:val="日期 Char"/>
    <w:basedOn w:val="28"/>
    <w:link w:val="14"/>
    <w:semiHidden/>
    <w:qFormat/>
    <w:locked/>
    <w:uiPriority w:val="99"/>
    <w:rPr>
      <w:rFonts w:cs="Times New Roman"/>
      <w:sz w:val="24"/>
      <w:szCs w:val="24"/>
    </w:rPr>
  </w:style>
  <w:style w:type="character" w:customStyle="1" w:styleId="43">
    <w:name w:val="批注框文本 Char"/>
    <w:basedOn w:val="28"/>
    <w:link w:val="15"/>
    <w:qFormat/>
    <w:locked/>
    <w:uiPriority w:val="99"/>
    <w:rPr>
      <w:rFonts w:ascii="Times New Roman" w:hAnsi="Times New Roman" w:eastAsia="宋体" w:cs="Times New Roman"/>
      <w:kern w:val="2"/>
      <w:sz w:val="18"/>
      <w:szCs w:val="18"/>
    </w:rPr>
  </w:style>
  <w:style w:type="character" w:customStyle="1" w:styleId="44">
    <w:name w:val="页脚 Char"/>
    <w:basedOn w:val="28"/>
    <w:link w:val="16"/>
    <w:qFormat/>
    <w:locked/>
    <w:uiPriority w:val="99"/>
    <w:rPr>
      <w:rFonts w:cs="Times New Roman"/>
      <w:sz w:val="18"/>
      <w:szCs w:val="18"/>
    </w:rPr>
  </w:style>
  <w:style w:type="character" w:customStyle="1" w:styleId="45">
    <w:name w:val="页眉 Char"/>
    <w:basedOn w:val="28"/>
    <w:link w:val="17"/>
    <w:semiHidden/>
    <w:qFormat/>
    <w:locked/>
    <w:uiPriority w:val="99"/>
    <w:rPr>
      <w:rFonts w:cs="Times New Roman"/>
      <w:sz w:val="18"/>
      <w:szCs w:val="18"/>
    </w:rPr>
  </w:style>
  <w:style w:type="character" w:customStyle="1" w:styleId="46">
    <w:name w:val="批注主题 Char"/>
    <w:basedOn w:val="39"/>
    <w:link w:val="24"/>
    <w:qFormat/>
    <w:locked/>
    <w:uiPriority w:val="99"/>
    <w:rPr>
      <w:rFonts w:ascii="Times New Roman" w:hAnsi="Times New Roman" w:eastAsia="宋体" w:cs="Times New Roman"/>
      <w:b/>
      <w:bCs/>
      <w:kern w:val="2"/>
      <w:sz w:val="24"/>
      <w:szCs w:val="24"/>
    </w:rPr>
  </w:style>
  <w:style w:type="paragraph" w:customStyle="1" w:styleId="47">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48">
    <w:name w:val="List Paragraph"/>
    <w:basedOn w:val="1"/>
    <w:qFormat/>
    <w:uiPriority w:val="99"/>
    <w:pPr>
      <w:ind w:firstLine="420" w:firstLineChars="200"/>
    </w:pPr>
    <w:rPr>
      <w:rFonts w:ascii="Calibri" w:hAnsi="Calibri"/>
      <w:szCs w:val="22"/>
    </w:rPr>
  </w:style>
  <w:style w:type="paragraph" w:customStyle="1" w:styleId="49">
    <w:name w:val="列出段落1"/>
    <w:basedOn w:val="1"/>
    <w:qFormat/>
    <w:uiPriority w:val="99"/>
    <w:pPr>
      <w:ind w:firstLine="420" w:firstLineChars="200"/>
    </w:pPr>
    <w:rPr>
      <w:rFonts w:ascii="Calibri" w:hAnsi="Calibri"/>
      <w:kern w:val="0"/>
      <w:szCs w:val="20"/>
    </w:rPr>
  </w:style>
  <w:style w:type="paragraph" w:customStyle="1" w:styleId="50">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2">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14"/>
    <w:qFormat/>
    <w:uiPriority w:val="99"/>
    <w:rPr>
      <w:rFonts w:ascii="Times New Roman" w:hAnsi="Times New Roman" w:eastAsia="宋体" w:cs="Times New Roman"/>
      <w:sz w:val="21"/>
      <w:szCs w:val="22"/>
      <w:lang w:val="en-US" w:eastAsia="zh-CN" w:bidi="ar-SA"/>
    </w:rPr>
  </w:style>
  <w:style w:type="paragraph" w:customStyle="1" w:styleId="54">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纯文本_3"/>
    <w:basedOn w:val="56"/>
    <w:qFormat/>
    <w:uiPriority w:val="99"/>
    <w:pPr>
      <w:widowControl/>
      <w:jc w:val="left"/>
    </w:pPr>
    <w:rPr>
      <w:rFonts w:ascii="宋体" w:hAnsi="Courier New"/>
      <w:szCs w:val="21"/>
    </w:rPr>
  </w:style>
  <w:style w:type="paragraph" w:customStyle="1" w:styleId="58">
    <w:name w:val="纯文本_0_1"/>
    <w:basedOn w:val="1"/>
    <w:qFormat/>
    <w:uiPriority w:val="99"/>
    <w:pPr>
      <w:widowControl/>
      <w:jc w:val="left"/>
    </w:pPr>
    <w:rPr>
      <w:rFonts w:ascii="宋体" w:hAnsi="Courier New"/>
      <w:szCs w:val="21"/>
    </w:rPr>
  </w:style>
  <w:style w:type="paragraph" w:customStyle="1" w:styleId="59">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3">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4">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character" w:customStyle="1" w:styleId="65">
    <w:name w:val="font11"/>
    <w:qFormat/>
    <w:uiPriority w:val="0"/>
    <w:rPr>
      <w:rFonts w:hint="default" w:ascii="Times New Roman" w:hAnsi="Times New Roman" w:cs="Times New Roman"/>
      <w:color w:val="000000"/>
      <w:sz w:val="24"/>
      <w:szCs w:val="24"/>
      <w:u w:val="none"/>
    </w:rPr>
  </w:style>
  <w:style w:type="character" w:customStyle="1" w:styleId="66">
    <w:name w:val="font01"/>
    <w:qFormat/>
    <w:uiPriority w:val="0"/>
    <w:rPr>
      <w:rFonts w:hint="eastAsia" w:ascii="宋体" w:hAnsi="宋体" w:eastAsia="宋体" w:cs="宋体"/>
      <w:color w:val="000000"/>
      <w:sz w:val="24"/>
      <w:szCs w:val="24"/>
      <w:u w:val="none"/>
    </w:rPr>
  </w:style>
  <w:style w:type="character" w:customStyle="1" w:styleId="67">
    <w:name w:val="font31"/>
    <w:qFormat/>
    <w:uiPriority w:val="0"/>
    <w:rPr>
      <w:rFonts w:hint="eastAsia" w:ascii="宋体" w:hAnsi="宋体" w:eastAsia="宋体" w:cs="宋体"/>
      <w:color w:val="000000"/>
      <w:sz w:val="24"/>
      <w:szCs w:val="24"/>
      <w:u w:val="none"/>
    </w:rPr>
  </w:style>
  <w:style w:type="paragraph" w:customStyle="1" w:styleId="68">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69">
    <w:name w:val="p18"/>
    <w:basedOn w:val="1"/>
    <w:qFormat/>
    <w:uiPriority w:val="99"/>
    <w:pPr>
      <w:widowControl/>
      <w:spacing w:line="748" w:lineRule="atLeast"/>
      <w:ind w:left="-527" w:firstLine="527"/>
    </w:pPr>
    <w:rPr>
      <w:rFonts w:ascii="宋体" w:hAnsi="宋体" w:cs="宋体"/>
      <w:kern w:val="0"/>
      <w:sz w:val="24"/>
    </w:rPr>
  </w:style>
  <w:style w:type="paragraph" w:customStyle="1" w:styleId="70">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71">
    <w:name w:val="投标正文"/>
    <w:basedOn w:val="1"/>
    <w:qFormat/>
    <w:uiPriority w:val="0"/>
    <w:pPr>
      <w:spacing w:line="360" w:lineRule="auto"/>
      <w:ind w:left="100" w:firstLine="480" w:firstLineChars="200"/>
    </w:pPr>
    <w:rPr>
      <w:rFonts w:ascii="Calibri" w:hAnsi="Calibri"/>
      <w:sz w:val="24"/>
    </w:rPr>
  </w:style>
  <w:style w:type="paragraph" w:customStyle="1" w:styleId="72">
    <w:name w:val="投标文件正文"/>
    <w:basedOn w:val="1"/>
    <w:qFormat/>
    <w:uiPriority w:val="0"/>
    <w:pPr>
      <w:spacing w:afterLines="50" w:line="360" w:lineRule="auto"/>
      <w:ind w:firstLine="200" w:firstLineChars="200"/>
    </w:pPr>
    <w:rPr>
      <w:rFonts w:hint="eastAsia" w:ascii="宋体" w:hAnsi="宋体"/>
      <w:color w:val="000000"/>
      <w:sz w:val="24"/>
    </w:rPr>
  </w:style>
  <w:style w:type="paragraph" w:customStyle="1" w:styleId="73">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4">
    <w:name w:val="投标标题3"/>
    <w:qFormat/>
    <w:uiPriority w:val="0"/>
    <w:pPr>
      <w:keepNext/>
      <w:keepLines/>
      <w:widowControl w:val="0"/>
      <w:spacing w:beforeLines="50"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75">
    <w:name w:val="BodyText1I2"/>
    <w:basedOn w:val="76"/>
    <w:next w:val="1"/>
    <w:qFormat/>
    <w:uiPriority w:val="0"/>
    <w:pPr>
      <w:tabs>
        <w:tab w:val="left" w:pos="1680"/>
      </w:tabs>
      <w:spacing w:before="0" w:after="120" w:line="360" w:lineRule="auto"/>
      <w:ind w:left="420" w:leftChars="200" w:firstLine="420" w:firstLineChars="200"/>
      <w:textAlignment w:val="auto"/>
    </w:pPr>
    <w:rPr>
      <w:rFonts w:ascii="Calibri" w:hAnsi="Calibri"/>
      <w:kern w:val="2"/>
      <w:sz w:val="21"/>
      <w:szCs w:val="22"/>
    </w:rPr>
  </w:style>
  <w:style w:type="paragraph" w:customStyle="1" w:styleId="76">
    <w:name w:val="BodyTextIndent"/>
    <w:basedOn w:val="1"/>
    <w:next w:val="1"/>
    <w:qFormat/>
    <w:uiPriority w:val="0"/>
    <w:pPr>
      <w:widowControl/>
      <w:snapToGrid w:val="0"/>
      <w:spacing w:before="120" w:line="400" w:lineRule="atLeast"/>
      <w:ind w:firstLine="570"/>
      <w:textAlignment w:val="bottom"/>
    </w:pPr>
    <w:rPr>
      <w:rFonts w:ascii="宋体"/>
      <w:kern w:val="0"/>
      <w:sz w:val="24"/>
      <w:szCs w:val="20"/>
    </w:rPr>
  </w:style>
  <w:style w:type="paragraph" w:customStyle="1" w:styleId="77">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78">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2"/>
    <w:basedOn w:val="1"/>
    <w:qFormat/>
    <w:uiPriority w:val="0"/>
    <w:pPr>
      <w:spacing w:before="156" w:line="360" w:lineRule="auto"/>
      <w:ind w:firstLine="510" w:firstLineChars="200"/>
    </w:pPr>
    <w:rPr>
      <w:sz w:val="24"/>
      <w:szCs w:val="20"/>
    </w:rPr>
  </w:style>
  <w:style w:type="paragraph" w:customStyle="1" w:styleId="81">
    <w:name w:val="！正文（四号字）"/>
    <w:qFormat/>
    <w:uiPriority w:val="0"/>
    <w:pPr>
      <w:snapToGrid w:val="0"/>
      <w:spacing w:line="360" w:lineRule="auto"/>
      <w:ind w:firstLine="200" w:firstLineChars="200"/>
      <w:jc w:val="both"/>
    </w:pPr>
    <w:rPr>
      <w:rFonts w:ascii="Calibri" w:hAnsi="Calibri" w:eastAsia="宋体" w:cs="Times New Roman"/>
      <w:sz w:val="24"/>
      <w:szCs w:val="28"/>
      <w:lang w:val="en-US" w:eastAsia="zh-CN" w:bidi="ar-SA"/>
    </w:rPr>
  </w:style>
  <w:style w:type="paragraph" w:customStyle="1" w:styleId="82">
    <w:name w:val="_Style 12"/>
    <w:basedOn w:val="1"/>
    <w:next w:val="48"/>
    <w:qFormat/>
    <w:uiPriority w:val="34"/>
    <w:pPr>
      <w:ind w:firstLine="420" w:firstLineChars="200"/>
    </w:pPr>
  </w:style>
  <w:style w:type="paragraph" w:customStyle="1" w:styleId="83">
    <w:name w:val="WPSOffice手动目录 1"/>
    <w:qFormat/>
    <w:uiPriority w:val="0"/>
    <w:rPr>
      <w:rFonts w:ascii="Times New Roman" w:hAnsi="Times New Roman" w:eastAsia="宋体" w:cs="Times New Roman"/>
      <w:lang w:val="en-US" w:eastAsia="zh-CN" w:bidi="ar-SA"/>
    </w:rPr>
  </w:style>
  <w:style w:type="paragraph" w:customStyle="1" w:styleId="8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86">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32894</Words>
  <Characters>34785</Characters>
  <Lines>323</Lines>
  <Paragraphs>90</Paragraphs>
  <TotalTime>39</TotalTime>
  <ScaleCrop>false</ScaleCrop>
  <LinksUpToDate>false</LinksUpToDate>
  <CharactersWithSpaces>36384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2018-06-20T05:33:00Z</dcterms:created>
  <dc:creator>S-mile</dc:creator>
  <cp:lastModifiedBy>弄白白白</cp:lastModifiedBy>
  <dcterms:modified xsi:type="dcterms:W3CDTF">2023-12-08T04:00:45Z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CAE5779BBA03399981897165ABED4A16_43</vt:lpwstr>
  </property>
</Properties>
</file>