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textAlignment w:val="bottom"/>
        <w:rPr>
          <w:rFonts w:ascii="宋体" w:hAnsi="宋体" w:cs="宋体"/>
          <w:b/>
          <w:bCs/>
          <w:color w:val="auto"/>
          <w:spacing w:val="6"/>
          <w:sz w:val="52"/>
          <w:szCs w:val="52"/>
          <w:highlight w:val="none"/>
        </w:rPr>
      </w:pPr>
      <w:r>
        <w:rPr>
          <w:rFonts w:hint="eastAsia"/>
          <w:color w:val="auto"/>
          <w:sz w:val="48"/>
          <w:szCs w:val="48"/>
          <w:highlight w:val="none"/>
        </w:rPr>
        <w:drawing>
          <wp:inline distT="0" distB="0" distL="114300" distR="114300">
            <wp:extent cx="1057275" cy="771525"/>
            <wp:effectExtent l="0" t="0" r="9525" b="9525"/>
            <wp:docPr id="1" name="图片 1" descr="8b7073bde8a3f52f88d1b7191676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7073bde8a3f52f88d1b7191676f41"/>
                    <pic:cNvPicPr>
                      <a:picLocks noChangeAspect="1"/>
                    </pic:cNvPicPr>
                  </pic:nvPicPr>
                  <pic:blipFill>
                    <a:blip r:embed="rId10"/>
                    <a:stretch>
                      <a:fillRect/>
                    </a:stretch>
                  </pic:blipFill>
                  <pic:spPr>
                    <a:xfrm>
                      <a:off x="0" y="0"/>
                      <a:ext cx="1057275" cy="771525"/>
                    </a:xfrm>
                    <a:prstGeom prst="rect">
                      <a:avLst/>
                    </a:prstGeom>
                    <a:noFill/>
                    <a:ln>
                      <a:noFill/>
                    </a:ln>
                  </pic:spPr>
                </pic:pic>
              </a:graphicData>
            </a:graphic>
          </wp:inline>
        </w:drawing>
      </w:r>
    </w:p>
    <w:p>
      <w:pPr>
        <w:shd w:val="clear" w:color="auto" w:fill="FFFFFF"/>
        <w:tabs>
          <w:tab w:val="left" w:pos="4500"/>
        </w:tabs>
        <w:snapToGrid w:val="0"/>
        <w:spacing w:line="360" w:lineRule="auto"/>
        <w:jc w:val="center"/>
        <w:textAlignment w:val="bottom"/>
        <w:rPr>
          <w:rFonts w:ascii="宋体" w:hAnsi="宋体" w:cs="宋体"/>
          <w:b/>
          <w:bCs/>
          <w:color w:val="auto"/>
          <w:sz w:val="52"/>
          <w:szCs w:val="52"/>
          <w:highlight w:val="none"/>
        </w:rPr>
      </w:pPr>
    </w:p>
    <w:p>
      <w:pPr>
        <w:shd w:val="clear" w:color="auto" w:fill="FFFFFF"/>
        <w:tabs>
          <w:tab w:val="left" w:pos="4500"/>
        </w:tabs>
        <w:snapToGrid w:val="0"/>
        <w:spacing w:line="360" w:lineRule="auto"/>
        <w:jc w:val="center"/>
        <w:textAlignment w:val="bottom"/>
        <w:rPr>
          <w:rFonts w:ascii="宋体" w:hAnsi="宋体" w:cs="宋体"/>
          <w:b/>
          <w:bCs/>
          <w:color w:val="auto"/>
          <w:sz w:val="52"/>
          <w:szCs w:val="52"/>
          <w:highlight w:val="none"/>
        </w:rPr>
      </w:pPr>
      <w:r>
        <w:rPr>
          <w:rFonts w:hint="eastAsia" w:ascii="宋体" w:hAnsi="宋体" w:cs="宋体"/>
          <w:b/>
          <w:bCs/>
          <w:color w:val="auto"/>
          <w:sz w:val="52"/>
          <w:szCs w:val="52"/>
          <w:highlight w:val="none"/>
        </w:rPr>
        <w:t>台州学院医学院康复实验室教学仪器设备采购项目</w:t>
      </w:r>
    </w:p>
    <w:p>
      <w:pPr>
        <w:shd w:val="clear" w:color="auto" w:fill="FFFFFF"/>
        <w:tabs>
          <w:tab w:val="left" w:pos="4500"/>
        </w:tabs>
        <w:snapToGrid w:val="0"/>
        <w:spacing w:line="360" w:lineRule="auto"/>
        <w:jc w:val="center"/>
        <w:textAlignment w:val="bottom"/>
        <w:rPr>
          <w:rFonts w:ascii="宋体" w:hAnsi="宋体" w:cs="宋体"/>
          <w:b/>
          <w:bCs/>
          <w:color w:val="auto"/>
          <w:sz w:val="72"/>
          <w:szCs w:val="72"/>
          <w:highlight w:val="none"/>
        </w:rPr>
      </w:pPr>
    </w:p>
    <w:p>
      <w:pPr>
        <w:shd w:val="clear" w:color="auto" w:fill="FFFFFF"/>
        <w:tabs>
          <w:tab w:val="left" w:pos="4500"/>
        </w:tabs>
        <w:snapToGrid w:val="0"/>
        <w:spacing w:line="360" w:lineRule="auto"/>
        <w:jc w:val="center"/>
        <w:textAlignment w:val="bottom"/>
        <w:rPr>
          <w:rFonts w:ascii="宋体" w:hAnsi="宋体" w:cs="宋体"/>
          <w:b/>
          <w:bCs/>
          <w:color w:val="auto"/>
          <w:sz w:val="72"/>
          <w:szCs w:val="72"/>
          <w:highlight w:val="none"/>
        </w:rPr>
      </w:pPr>
      <w:r>
        <w:rPr>
          <w:rFonts w:hint="eastAsia" w:ascii="宋体" w:hAnsi="宋体" w:cs="宋体"/>
          <w:b/>
          <w:bCs/>
          <w:color w:val="auto"/>
          <w:sz w:val="72"/>
          <w:szCs w:val="72"/>
          <w:highlight w:val="none"/>
        </w:rPr>
        <w:t>公开采购文件</w:t>
      </w:r>
    </w:p>
    <w:p>
      <w:pPr>
        <w:widowControl/>
        <w:spacing w:line="360" w:lineRule="auto"/>
        <w:ind w:right="-2"/>
        <w:jc w:val="center"/>
        <w:rPr>
          <w:rFonts w:ascii="宋体" w:hAnsi="宋体"/>
          <w:b/>
          <w:color w:val="auto"/>
          <w:sz w:val="36"/>
          <w:highlight w:val="none"/>
        </w:rPr>
      </w:pPr>
      <w:r>
        <w:rPr>
          <w:rFonts w:hint="eastAsia" w:ascii="宋体" w:hAnsi="宋体"/>
          <w:b/>
          <w:color w:val="auto"/>
          <w:sz w:val="36"/>
          <w:highlight w:val="none"/>
        </w:rPr>
        <w:t>（线上电子招投标）</w:t>
      </w:r>
    </w:p>
    <w:p>
      <w:pPr>
        <w:shd w:val="clear" w:color="auto" w:fill="FFFFFF"/>
        <w:snapToGrid w:val="0"/>
        <w:spacing w:line="360" w:lineRule="auto"/>
        <w:textAlignment w:val="bottom"/>
        <w:rPr>
          <w:rFonts w:ascii="宋体" w:hAnsi="宋体" w:cs="宋体"/>
          <w:b/>
          <w:bCs/>
          <w:color w:val="auto"/>
          <w:sz w:val="48"/>
          <w:szCs w:val="48"/>
          <w:highlight w:val="none"/>
        </w:rPr>
      </w:pPr>
      <w:r>
        <w:rPr>
          <w:rFonts w:ascii="宋体" w:hAnsi="宋体" w:cs="宋体"/>
          <w:color w:val="auto"/>
          <w:sz w:val="48"/>
          <w:szCs w:val="48"/>
          <w:highlight w:val="none"/>
        </w:rPr>
        <mc:AlternateContent>
          <mc:Choice Requires="wps">
            <w:drawing>
              <wp:anchor distT="0" distB="0" distL="114300" distR="114300" simplePos="0" relativeHeight="251663360" behindDoc="0" locked="0" layoutInCell="0" allowOverlap="1">
                <wp:simplePos x="0" y="0"/>
                <wp:positionH relativeFrom="column">
                  <wp:posOffset>4191000</wp:posOffset>
                </wp:positionH>
                <wp:positionV relativeFrom="paragraph">
                  <wp:posOffset>72390</wp:posOffset>
                </wp:positionV>
                <wp:extent cx="635" cy="0"/>
                <wp:effectExtent l="0" t="0" r="0" b="0"/>
                <wp:wrapSquare wrapText="bothSides"/>
                <wp:docPr id="6"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30pt;margin-top:5.7pt;height:0pt;width:0.05pt;mso-wrap-distance-bottom:0pt;mso-wrap-distance-left:9pt;mso-wrap-distance-right:9pt;mso-wrap-distance-top:0pt;z-index:251663360;mso-width-relative:page;mso-height-relative:page;" filled="f" stroked="t" coordsize="21600,21600" o:allowincell="f" o:gfxdata="UEsDBAoAAAAAAIdO4kAAAAAAAAAAAAAAAAAEAAAAZHJzL1BLAwQUAAAACACHTuJA/3LebdQAAAAJ&#10;AQAADwAAAGRycy9kb3ducmV2LnhtbE2PzU7DMBCE70i8g7VIXCpqp6AIpXF6AHLjQiniuo23SUS8&#10;TmP3B56eRRzguDOj2W/K1dkP6khT7ANbyOYGFHETXM+thc1rfXMPKiZkh0NgsvBJEVbV5UWJhQsn&#10;fqHjOrVKSjgWaKFLaSy0jk1HHuM8jMTi7cLkMck5tdpNeJJyP+iFMbn22LN86HCkh46aj/XBW4j1&#10;G+3rr1kzM++3baDF/vH5Ca29vsrMElSic/oLww++oEMlTNtwYBfVYCHPjWxJYmR3oCQgQgZq+yvo&#10;qtT/F1TfUEsDBBQAAAAIAIdO4kCQS/2l4AEAANkDAAAOAAAAZHJzL2Uyb0RvYy54bWytU0uOEzEQ&#10;3SNxB8t70pmgiaCVziwmDBsEkWAOUPEnbck/uTzp5CxcgxUbjjPXoOzuCcOwyYJeuMvl8qt6r8qr&#10;m6Oz7KASmuA7fjWbc6a8CNL4fcfvv929eccZZvASbPCq4yeF/Gb9+tVqiK1ahD5YqRIjEI/tEDve&#10;5xzbpkHRKwc4C1F5OtQhOci0TftGJhgI3dlmMZ8vmyEkGVMQCpG8m/GQT4jpEsCgtRFqE8SDUz6P&#10;qElZyEQJexORr2u1WiuRv2iNKjPbcWKa60pJyN6VtVmvoN0niL0RUwlwSQkvODkwnpKeoTaQgT0k&#10;8w+UMyIFDDrPRHDNSKQqQiyu5i+0+dpDVJULSY3xLDr+P1jx+bBNzMiOLznz4Kjhj99/PP78xRZF&#10;myFiSyG3fpumHcZtKkSPOrnyJwrsWPU8nfVUx8wEOZdvrzkTT/7mz6WYMH9UwbFidNwaX2hCC4dP&#10;mCkRhT6FFLf1bOj4++tFgQOaOU29JtNFqhv9vt7FYI28M9aWG5j2u1ub2AFK3+tX6BDuX2ElyQaw&#10;H+Pq0TgRvQL5wUuWT5EU8fQQeCnBKcmZVfRuikWA0GYw9pJISm19uaDqVE48i76josXaBXmqQjdl&#10;Rx2vFU/TWUbq+Z7s5y9y/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t5t1AAAAAkBAAAPAAAA&#10;AAAAAAEAIAAAACIAAABkcnMvZG93bnJldi54bWxQSwECFAAUAAAACACHTuJAkEv9peABAADZAwAA&#10;DgAAAAAAAAABACAAAAAjAQAAZHJzL2Uyb0RvYy54bWxQSwUGAAAAAAYABgBZAQAAdQUAAAAA&#10;">
                <v:fill on="f" focussize="0,0"/>
                <v:stroke color="#000000" joinstyle="round"/>
                <v:imagedata o:title=""/>
                <o:lock v:ext="edit" aspectratio="f"/>
                <w10:wrap type="square"/>
              </v:line>
            </w:pict>
          </mc:Fallback>
        </mc:AlternateContent>
      </w:r>
    </w:p>
    <w:p>
      <w:pPr>
        <w:shd w:val="clear" w:color="auto" w:fill="FFFFFF"/>
        <w:snapToGrid w:val="0"/>
        <w:spacing w:line="360" w:lineRule="auto"/>
        <w:jc w:val="center"/>
        <w:textAlignment w:val="bottom"/>
        <w:rPr>
          <w:rFonts w:ascii="宋体" w:hAnsi="宋体" w:cs="宋体"/>
          <w:b/>
          <w:bCs/>
          <w:color w:val="auto"/>
          <w:sz w:val="30"/>
          <w:szCs w:val="30"/>
          <w:highlight w:val="none"/>
        </w:rPr>
      </w:pPr>
    </w:p>
    <w:p>
      <w:pPr>
        <w:spacing w:line="360" w:lineRule="auto"/>
        <w:ind w:left="-210" w:leftChars="-100" w:right="-57" w:firstLine="1200" w:firstLineChars="400"/>
        <w:rPr>
          <w:color w:val="auto"/>
          <w:sz w:val="30"/>
          <w:szCs w:val="30"/>
          <w:highlight w:val="none"/>
        </w:rPr>
      </w:pPr>
    </w:p>
    <w:p>
      <w:pPr>
        <w:spacing w:line="360" w:lineRule="auto"/>
        <w:ind w:left="-210" w:leftChars="-100" w:right="-57" w:firstLine="1200" w:firstLineChars="400"/>
        <w:rPr>
          <w:rFonts w:asciiTheme="minorEastAsia" w:hAnsiTheme="minorEastAsia" w:eastAsiaTheme="minorEastAsia"/>
          <w:color w:val="auto"/>
          <w:sz w:val="30"/>
          <w:szCs w:val="30"/>
          <w:highlight w:val="none"/>
        </w:rPr>
      </w:pPr>
      <w:r>
        <w:rPr>
          <w:rFonts w:hint="eastAsia"/>
          <w:color w:val="auto"/>
          <w:sz w:val="30"/>
          <w:szCs w:val="30"/>
          <w:highlight w:val="none"/>
        </w:rPr>
        <w:t>项</w:t>
      </w:r>
      <w:r>
        <w:rPr>
          <w:rFonts w:hint="eastAsia" w:asciiTheme="minorEastAsia" w:hAnsiTheme="minorEastAsia" w:eastAsiaTheme="minorEastAsia"/>
          <w:color w:val="auto"/>
          <w:sz w:val="30"/>
          <w:szCs w:val="30"/>
          <w:highlight w:val="none"/>
        </w:rPr>
        <w:t>目</w:t>
      </w:r>
      <w:r>
        <w:rPr>
          <w:rFonts w:asciiTheme="minorEastAsia" w:hAnsiTheme="minorEastAsia" w:eastAsiaTheme="minorEastAsia"/>
          <w:color w:val="auto"/>
          <w:sz w:val="30"/>
          <w:szCs w:val="30"/>
          <w:highlight w:val="none"/>
        </w:rPr>
        <w:t>编号：</w:t>
      </w:r>
      <w:r>
        <w:rPr>
          <w:rFonts w:hint="eastAsia" w:asciiTheme="minorEastAsia" w:hAnsiTheme="minorEastAsia" w:eastAsiaTheme="minorEastAsia"/>
          <w:color w:val="auto"/>
          <w:sz w:val="30"/>
          <w:szCs w:val="30"/>
          <w:highlight w:val="none"/>
        </w:rPr>
        <w:t>ZGTZZB2023-1004</w:t>
      </w:r>
    </w:p>
    <w:p>
      <w:pPr>
        <w:spacing w:line="360" w:lineRule="auto"/>
        <w:ind w:left="-210" w:leftChars="-100" w:right="-57" w:firstLine="1200" w:firstLineChars="400"/>
        <w:rPr>
          <w:color w:val="auto"/>
          <w:sz w:val="30"/>
          <w:szCs w:val="30"/>
          <w:highlight w:val="none"/>
        </w:rPr>
      </w:pPr>
      <w:r>
        <w:rPr>
          <w:color w:val="auto"/>
          <w:sz w:val="30"/>
          <w:szCs w:val="30"/>
          <w:highlight w:val="none"/>
        </w:rPr>
        <w:t>采购人：</w:t>
      </w:r>
      <w:r>
        <w:rPr>
          <w:rFonts w:hint="eastAsia" w:asciiTheme="minorEastAsia" w:hAnsiTheme="minorEastAsia" w:eastAsiaTheme="minorEastAsia"/>
          <w:color w:val="auto"/>
          <w:sz w:val="30"/>
          <w:szCs w:val="30"/>
          <w:highlight w:val="none"/>
        </w:rPr>
        <w:t>台州学院</w:t>
      </w:r>
    </w:p>
    <w:p>
      <w:pPr>
        <w:spacing w:line="360" w:lineRule="auto"/>
        <w:ind w:left="-210" w:leftChars="-100" w:right="-57" w:firstLine="1200" w:firstLineChars="400"/>
        <w:rPr>
          <w:color w:val="auto"/>
          <w:sz w:val="30"/>
          <w:szCs w:val="30"/>
          <w:highlight w:val="none"/>
        </w:rPr>
      </w:pPr>
      <w:r>
        <w:rPr>
          <w:rFonts w:hint="eastAsia"/>
          <w:color w:val="auto"/>
          <w:sz w:val="30"/>
          <w:szCs w:val="30"/>
          <w:highlight w:val="none"/>
        </w:rPr>
        <w:t>采购代理机构</w:t>
      </w:r>
      <w:r>
        <w:rPr>
          <w:color w:val="auto"/>
          <w:sz w:val="30"/>
          <w:szCs w:val="30"/>
          <w:highlight w:val="none"/>
        </w:rPr>
        <w:t>：中冠工程管理咨询有限公司</w:t>
      </w:r>
    </w:p>
    <w:p>
      <w:pPr>
        <w:spacing w:line="360" w:lineRule="auto"/>
        <w:ind w:left="-210" w:leftChars="-100" w:right="-57" w:firstLine="1200" w:firstLineChars="400"/>
        <w:rPr>
          <w:color w:val="auto"/>
          <w:sz w:val="30"/>
          <w:szCs w:val="30"/>
          <w:highlight w:val="none"/>
        </w:rPr>
      </w:pPr>
      <w:r>
        <w:rPr>
          <w:color w:val="auto"/>
          <w:sz w:val="30"/>
          <w:szCs w:val="30"/>
          <w:highlight w:val="none"/>
        </w:rPr>
        <w:t>二〇</w:t>
      </w:r>
      <w:r>
        <w:rPr>
          <w:rFonts w:hint="eastAsia"/>
          <w:color w:val="auto"/>
          <w:sz w:val="30"/>
          <w:szCs w:val="30"/>
          <w:highlight w:val="none"/>
        </w:rPr>
        <w:t>二三</w:t>
      </w:r>
      <w:r>
        <w:rPr>
          <w:color w:val="auto"/>
          <w:sz w:val="30"/>
          <w:szCs w:val="30"/>
          <w:highlight w:val="none"/>
        </w:rPr>
        <w:t>年</w:t>
      </w:r>
      <w:r>
        <w:rPr>
          <w:rFonts w:hint="eastAsia"/>
          <w:color w:val="auto"/>
          <w:sz w:val="30"/>
          <w:szCs w:val="30"/>
          <w:highlight w:val="none"/>
        </w:rPr>
        <w:t>十</w:t>
      </w:r>
      <w:r>
        <w:rPr>
          <w:color w:val="auto"/>
          <w:sz w:val="30"/>
          <w:szCs w:val="30"/>
          <w:highlight w:val="none"/>
        </w:rPr>
        <w:t>月</w:t>
      </w:r>
    </w:p>
    <w:p>
      <w:pPr>
        <w:shd w:val="clear" w:color="auto" w:fill="FFFFFF"/>
        <w:snapToGrid w:val="0"/>
        <w:spacing w:line="480" w:lineRule="auto"/>
        <w:ind w:firstLine="425"/>
        <w:textAlignment w:val="bottom"/>
        <w:rPr>
          <w:rFonts w:ascii="宋体" w:hAnsi="宋体" w:cs="宋体"/>
          <w:b/>
          <w:bCs/>
          <w:color w:val="auto"/>
          <w:sz w:val="30"/>
          <w:szCs w:val="30"/>
          <w:highlight w:val="none"/>
        </w:rPr>
      </w:pPr>
    </w:p>
    <w:p>
      <w:pPr>
        <w:pageBreakBefore/>
        <w:shd w:val="clear" w:color="auto" w:fill="FFFFFF"/>
        <w:snapToGrid w:val="0"/>
        <w:spacing w:line="360" w:lineRule="auto"/>
        <w:jc w:val="center"/>
        <w:rPr>
          <w:rFonts w:ascii="宋体" w:hAnsi="宋体" w:cs="宋体"/>
          <w:b/>
          <w:bCs/>
          <w:color w:val="auto"/>
          <w:sz w:val="24"/>
          <w:highlight w:val="none"/>
        </w:rPr>
        <w:sectPr>
          <w:pgSz w:w="12240" w:h="15840"/>
          <w:pgMar w:top="1440" w:right="1800" w:bottom="1440" w:left="1800" w:header="720" w:footer="720" w:gutter="0"/>
          <w:cols w:space="720" w:num="1"/>
        </w:sectPr>
      </w:pPr>
    </w:p>
    <w:p>
      <w:pPr>
        <w:jc w:val="center"/>
        <w:rPr>
          <w:rFonts w:ascii="宋体" w:hAnsi="宋体"/>
          <w:color w:val="auto"/>
          <w:sz w:val="44"/>
          <w:szCs w:val="44"/>
          <w:highlight w:val="none"/>
        </w:rPr>
      </w:pPr>
      <w:r>
        <w:rPr>
          <w:rFonts w:ascii="宋体" w:hAnsi="宋体"/>
          <w:color w:val="auto"/>
          <w:sz w:val="44"/>
          <w:szCs w:val="44"/>
          <w:highlight w:val="none"/>
        </w:rPr>
        <w:t>目录</w:t>
      </w:r>
    </w:p>
    <w:p>
      <w:pPr>
        <w:pStyle w:val="3"/>
        <w:rPr>
          <w:color w:val="auto"/>
          <w:highlight w:val="none"/>
        </w:rPr>
      </w:pPr>
    </w:p>
    <w:p>
      <w:pPr>
        <w:pStyle w:val="33"/>
        <w:tabs>
          <w:tab w:val="right" w:leader="dot" w:pos="8306"/>
          <w:tab w:val="clear" w:pos="8789"/>
        </w:tabs>
        <w:spacing w:line="600" w:lineRule="auto"/>
        <w:rPr>
          <w:color w:val="auto"/>
          <w:sz w:val="28"/>
          <w:szCs w:val="28"/>
          <w:highlight w:val="none"/>
        </w:rPr>
      </w:pPr>
      <w:r>
        <w:rPr>
          <w:rFonts w:hint="eastAsia" w:ascii="宋体" w:hAnsi="宋体" w:cs="宋体"/>
          <w:b/>
          <w:color w:val="auto"/>
          <w:szCs w:val="24"/>
          <w:highlight w:val="none"/>
        </w:rPr>
        <w:fldChar w:fldCharType="begin"/>
      </w:r>
      <w:r>
        <w:rPr>
          <w:rFonts w:hint="eastAsia" w:ascii="宋体" w:hAnsi="宋体" w:cs="宋体"/>
          <w:b/>
          <w:color w:val="auto"/>
          <w:szCs w:val="24"/>
          <w:highlight w:val="none"/>
        </w:rPr>
        <w:instrText xml:space="preserve">TOC \o "1-1" \h \u </w:instrText>
      </w:r>
      <w:r>
        <w:rPr>
          <w:rFonts w:hint="eastAsia" w:ascii="宋体" w:hAnsi="宋体" w:cs="宋体"/>
          <w:b/>
          <w:color w:val="auto"/>
          <w:szCs w:val="24"/>
          <w:highlight w:val="none"/>
        </w:rPr>
        <w:fldChar w:fldCharType="separate"/>
      </w:r>
      <w:r>
        <w:rPr>
          <w:color w:val="auto"/>
          <w:highlight w:val="none"/>
        </w:rPr>
        <w:fldChar w:fldCharType="begin"/>
      </w:r>
      <w:r>
        <w:rPr>
          <w:color w:val="auto"/>
          <w:highlight w:val="none"/>
        </w:rPr>
        <w:instrText xml:space="preserve"> HYPERLINK \l "_Toc3351" </w:instrText>
      </w:r>
      <w:r>
        <w:rPr>
          <w:color w:val="auto"/>
          <w:highlight w:val="none"/>
        </w:rPr>
        <w:fldChar w:fldCharType="separate"/>
      </w:r>
      <w:r>
        <w:rPr>
          <w:rFonts w:hint="eastAsia" w:ascii="宋体" w:hAnsi="宋体" w:cs="宋体"/>
          <w:bCs/>
          <w:color w:val="auto"/>
          <w:sz w:val="28"/>
          <w:szCs w:val="28"/>
          <w:highlight w:val="none"/>
        </w:rPr>
        <w:t>第一部分  采购公告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_Toc3351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"_Toc26993" </w:instrText>
      </w:r>
      <w:r>
        <w:rPr>
          <w:color w:val="auto"/>
          <w:highlight w:val="none"/>
        </w:rPr>
        <w:fldChar w:fldCharType="separate"/>
      </w:r>
      <w:r>
        <w:rPr>
          <w:rFonts w:hint="eastAsia" w:cs="宋体" w:asciiTheme="minorEastAsia" w:hAnsiTheme="minorEastAsia" w:eastAsiaTheme="minorEastAsia"/>
          <w:bCs/>
          <w:color w:val="auto"/>
          <w:sz w:val="28"/>
          <w:szCs w:val="28"/>
          <w:highlight w:val="none"/>
        </w:rPr>
        <w:t>第二部分  投标资料表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_Toc26993 \h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"_Toc18133" </w:instrText>
      </w:r>
      <w:r>
        <w:rPr>
          <w:color w:val="auto"/>
          <w:highlight w:val="none"/>
        </w:rPr>
        <w:fldChar w:fldCharType="separate"/>
      </w:r>
      <w:r>
        <w:rPr>
          <w:rFonts w:hint="eastAsia" w:asciiTheme="minorEastAsia" w:hAnsiTheme="minorEastAsia" w:eastAsiaTheme="minorEastAsia"/>
          <w:bCs/>
          <w:color w:val="auto"/>
          <w:sz w:val="28"/>
          <w:szCs w:val="28"/>
          <w:highlight w:val="none"/>
        </w:rPr>
        <w:t>第三部分  投标须知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_Toc18133 \h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"_Toc26752" </w:instrText>
      </w:r>
      <w:r>
        <w:rPr>
          <w:color w:val="auto"/>
          <w:highlight w:val="none"/>
        </w:rPr>
        <w:fldChar w:fldCharType="separate"/>
      </w:r>
      <w:r>
        <w:rPr>
          <w:rFonts w:hint="eastAsia" w:asciiTheme="minorEastAsia" w:hAnsiTheme="minorEastAsia" w:eastAsiaTheme="minorEastAsia"/>
          <w:color w:val="auto"/>
          <w:sz w:val="28"/>
          <w:szCs w:val="28"/>
          <w:highlight w:val="none"/>
        </w:rPr>
        <w:t>第四部分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_Toc26752 \h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"_Toc25191" </w:instrText>
      </w:r>
      <w:r>
        <w:rPr>
          <w:color w:val="auto"/>
          <w:highlight w:val="none"/>
        </w:rPr>
        <w:fldChar w:fldCharType="separate"/>
      </w:r>
      <w:r>
        <w:rPr>
          <w:rFonts w:hint="eastAsia" w:asciiTheme="minorEastAsia" w:hAnsiTheme="minorEastAsia" w:eastAsiaTheme="minorEastAsia"/>
          <w:color w:val="auto"/>
          <w:sz w:val="28"/>
          <w:szCs w:val="28"/>
          <w:highlight w:val="none"/>
        </w:rPr>
        <w:t>第五部分  采购内容及要求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_Toc25191 \h </w:instrText>
      </w:r>
      <w:r>
        <w:rPr>
          <w:color w:val="auto"/>
          <w:sz w:val="28"/>
          <w:szCs w:val="28"/>
          <w:highlight w:val="none"/>
        </w:rPr>
        <w:fldChar w:fldCharType="separate"/>
      </w:r>
      <w:r>
        <w:rPr>
          <w:color w:val="auto"/>
          <w:sz w:val="28"/>
          <w:szCs w:val="28"/>
          <w:highlight w:val="none"/>
        </w:rPr>
        <w:t>25</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"_Toc753" </w:instrText>
      </w:r>
      <w:r>
        <w:rPr>
          <w:color w:val="auto"/>
          <w:highlight w:val="none"/>
        </w:rPr>
        <w:fldChar w:fldCharType="separate"/>
      </w:r>
      <w:r>
        <w:rPr>
          <w:rFonts w:hint="eastAsia" w:asciiTheme="minorEastAsia" w:hAnsiTheme="minorEastAsia" w:eastAsiaTheme="minorEastAsia"/>
          <w:color w:val="auto"/>
          <w:sz w:val="28"/>
          <w:szCs w:val="28"/>
          <w:highlight w:val="none"/>
        </w:rPr>
        <w:t>第六部分  拟签订的合同文本</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_Toc753 \h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"_Toc9035" </w:instrText>
      </w:r>
      <w:r>
        <w:rPr>
          <w:color w:val="auto"/>
          <w:highlight w:val="none"/>
        </w:rPr>
        <w:fldChar w:fldCharType="separate"/>
      </w:r>
      <w:r>
        <w:rPr>
          <w:rFonts w:hint="eastAsia" w:asciiTheme="minorEastAsia" w:hAnsiTheme="minorEastAsia" w:eastAsiaTheme="minorEastAsia"/>
          <w:color w:val="auto"/>
          <w:sz w:val="28"/>
          <w:szCs w:val="28"/>
          <w:highlight w:val="none"/>
        </w:rPr>
        <w:t xml:space="preserve">第七部分  </w:t>
      </w:r>
      <w:r>
        <w:rPr>
          <w:rFonts w:hint="eastAsia" w:cs="宋体" w:asciiTheme="minorEastAsia" w:hAnsiTheme="minorEastAsia" w:eastAsiaTheme="minorEastAsia"/>
          <w:bCs/>
          <w:color w:val="auto"/>
          <w:sz w:val="28"/>
          <w:szCs w:val="28"/>
          <w:highlight w:val="none"/>
        </w:rPr>
        <w:t>格式与表格</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_Toc9035 \h </w:instrText>
      </w:r>
      <w:r>
        <w:rPr>
          <w:color w:val="auto"/>
          <w:sz w:val="28"/>
          <w:szCs w:val="28"/>
          <w:highlight w:val="none"/>
        </w:rPr>
        <w:fldChar w:fldCharType="separate"/>
      </w:r>
      <w:r>
        <w:rPr>
          <w:color w:val="auto"/>
          <w:sz w:val="28"/>
          <w:szCs w:val="28"/>
          <w:highlight w:val="none"/>
        </w:rPr>
        <w:t>42</w:t>
      </w:r>
      <w:r>
        <w:rPr>
          <w:color w:val="auto"/>
          <w:sz w:val="28"/>
          <w:szCs w:val="28"/>
          <w:highlight w:val="none"/>
        </w:rPr>
        <w:fldChar w:fldCharType="end"/>
      </w:r>
      <w:r>
        <w:rPr>
          <w:color w:val="auto"/>
          <w:sz w:val="28"/>
          <w:szCs w:val="28"/>
          <w:highlight w:val="none"/>
        </w:rPr>
        <w:fldChar w:fldCharType="end"/>
      </w:r>
    </w:p>
    <w:p>
      <w:pPr>
        <w:pStyle w:val="33"/>
        <w:tabs>
          <w:tab w:val="right" w:leader="dot" w:pos="8306"/>
          <w:tab w:val="clear" w:pos="8789"/>
        </w:tabs>
        <w:rPr>
          <w:color w:val="auto"/>
          <w:highlight w:val="none"/>
        </w:rPr>
      </w:pPr>
    </w:p>
    <w:p>
      <w:pPr>
        <w:rPr>
          <w:rFonts w:ascii="宋体" w:hAnsi="宋体" w:cs="宋体"/>
          <w:color w:val="auto"/>
          <w:sz w:val="24"/>
          <w:highlight w:val="none"/>
        </w:rPr>
      </w:pPr>
      <w:r>
        <w:rPr>
          <w:rFonts w:hint="eastAsia" w:ascii="宋体" w:hAnsi="宋体" w:cs="宋体"/>
          <w:color w:val="auto"/>
          <w:highlight w:val="none"/>
        </w:rPr>
        <w:fldChar w:fldCharType="end"/>
      </w:r>
    </w:p>
    <w:p>
      <w:pPr>
        <w:pStyle w:val="3"/>
        <w:rPr>
          <w:color w:val="auto"/>
          <w:highlight w:val="none"/>
        </w:rPr>
      </w:pPr>
    </w:p>
    <w:p>
      <w:pPr>
        <w:rPr>
          <w:color w:val="auto"/>
          <w:highlight w:val="none"/>
        </w:rPr>
      </w:pPr>
    </w:p>
    <w:p>
      <w:pPr>
        <w:pStyle w:val="3"/>
        <w:rPr>
          <w:color w:val="auto"/>
          <w:highlight w:val="none"/>
        </w:rPr>
      </w:pPr>
    </w:p>
    <w:p>
      <w:pPr>
        <w:rPr>
          <w:color w:val="auto"/>
          <w:highlight w:val="none"/>
        </w:rPr>
      </w:pPr>
    </w:p>
    <w:p>
      <w:pPr>
        <w:pStyle w:val="3"/>
        <w:rPr>
          <w:color w:val="auto"/>
          <w:highlight w:val="none"/>
        </w:rPr>
      </w:pPr>
    </w:p>
    <w:p>
      <w:pPr>
        <w:rPr>
          <w:color w:val="auto"/>
          <w:highlight w:val="none"/>
        </w:rPr>
      </w:pPr>
    </w:p>
    <w:p>
      <w:pPr>
        <w:pStyle w:val="3"/>
        <w:rPr>
          <w:color w:val="auto"/>
          <w:highlight w:val="none"/>
        </w:rPr>
      </w:pPr>
    </w:p>
    <w:p>
      <w:pPr>
        <w:rPr>
          <w:color w:val="auto"/>
          <w:highlight w:val="none"/>
        </w:rPr>
      </w:pPr>
    </w:p>
    <w:p>
      <w:pPr>
        <w:pStyle w:val="3"/>
        <w:rPr>
          <w:color w:val="auto"/>
          <w:highlight w:val="none"/>
        </w:rPr>
      </w:pPr>
    </w:p>
    <w:p>
      <w:pPr>
        <w:rPr>
          <w:color w:val="auto"/>
          <w:highlight w:val="none"/>
        </w:rPr>
        <w:sectPr>
          <w:footerReference r:id="rId3" w:type="default"/>
          <w:pgSz w:w="11906" w:h="16838"/>
          <w:pgMar w:top="1440" w:right="1800" w:bottom="1440" w:left="1800" w:header="851" w:footer="992" w:gutter="0"/>
          <w:pgNumType w:start="1"/>
          <w:cols w:space="720" w:num="1"/>
          <w:docGrid w:type="lines" w:linePitch="312" w:charSpace="0"/>
        </w:sectPr>
      </w:pPr>
    </w:p>
    <w:p>
      <w:pPr>
        <w:pageBreakBefore/>
        <w:shd w:val="clear" w:color="auto" w:fill="FFFFFF"/>
        <w:snapToGrid w:val="0"/>
        <w:spacing w:line="500" w:lineRule="exact"/>
        <w:ind w:left="105"/>
        <w:jc w:val="center"/>
        <w:outlineLvl w:val="0"/>
        <w:rPr>
          <w:rFonts w:ascii="宋体" w:hAnsi="宋体" w:cs="宋体"/>
          <w:b/>
          <w:bCs/>
          <w:color w:val="auto"/>
          <w:sz w:val="32"/>
          <w:szCs w:val="32"/>
          <w:highlight w:val="none"/>
        </w:rPr>
      </w:pPr>
      <w:bookmarkStart w:id="0" w:name="_Toc11758"/>
      <w:bookmarkStart w:id="1" w:name="_Toc8375"/>
      <w:bookmarkStart w:id="2" w:name="_Toc25290"/>
      <w:bookmarkStart w:id="3" w:name="_Toc1038"/>
      <w:bookmarkStart w:id="4" w:name="_Toc3351"/>
      <w:bookmarkStart w:id="5" w:name="_Toc12459"/>
      <w:bookmarkStart w:id="6" w:name="_Toc18128"/>
      <w:r>
        <w:rPr>
          <w:rFonts w:hint="eastAsia" w:ascii="宋体" w:hAnsi="宋体" w:cs="宋体"/>
          <w:b/>
          <w:bCs/>
          <w:color w:val="auto"/>
          <w:sz w:val="32"/>
          <w:szCs w:val="32"/>
          <w:highlight w:val="none"/>
        </w:rPr>
        <w:t>第一部分  采购公告</w:t>
      </w:r>
      <w:bookmarkEnd w:id="0"/>
      <w:bookmarkEnd w:id="1"/>
      <w:bookmarkEnd w:id="2"/>
      <w:bookmarkEnd w:id="3"/>
      <w:bookmarkEnd w:id="4"/>
      <w:bookmarkEnd w:id="5"/>
      <w:bookmarkEnd w:id="6"/>
    </w:p>
    <w:p>
      <w:pPr>
        <w:pBdr>
          <w:top w:val="single" w:color="auto" w:sz="4" w:space="1"/>
          <w:left w:val="single" w:color="auto" w:sz="4" w:space="4"/>
          <w:bottom w:val="single" w:color="auto" w:sz="4" w:space="1"/>
          <w:right w:val="single" w:color="auto" w:sz="4" w:space="4"/>
        </w:pBdr>
        <w:spacing w:line="380" w:lineRule="exact"/>
        <w:rPr>
          <w:rFonts w:asciiTheme="minorEastAsia" w:hAnsiTheme="minorEastAsia" w:eastAsiaTheme="minorEastAsia"/>
          <w:color w:val="auto"/>
          <w:szCs w:val="21"/>
          <w:highlight w:val="none"/>
        </w:rPr>
      </w:pPr>
      <w:bookmarkStart w:id="7" w:name="_Hlk51884093"/>
      <w:bookmarkStart w:id="8" w:name="_Toc263083249"/>
      <w:bookmarkStart w:id="9" w:name="_Toc262312595"/>
      <w:r>
        <w:rPr>
          <w:rFonts w:hint="eastAsia" w:asciiTheme="minorEastAsia" w:hAnsiTheme="minorEastAsia" w:eastAsiaTheme="minorEastAsia"/>
          <w:color w:val="auto"/>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台州学院医学院康复实验室教学仪器设备采购项目</w:t>
      </w:r>
      <w:r>
        <w:rPr>
          <w:rFonts w:hint="eastAsia" w:asciiTheme="minorEastAsia" w:hAnsiTheme="minorEastAsia" w:eastAsiaTheme="minorEastAsia"/>
          <w:color w:val="auto"/>
          <w:szCs w:val="21"/>
          <w:highlight w:val="none"/>
        </w:rPr>
        <w:t>的潜在投标人应在</w:t>
      </w:r>
      <w:r>
        <w:rPr>
          <w:rFonts w:hint="eastAsia" w:asciiTheme="minorEastAsia" w:hAnsiTheme="minorEastAsia" w:eastAsiaTheme="minorEastAsia"/>
          <w:color w:val="auto"/>
          <w:szCs w:val="21"/>
          <w:highlight w:val="none"/>
          <w:u w:val="single"/>
        </w:rPr>
        <w:t>政采云平台</w:t>
      </w:r>
      <w:r>
        <w:rPr>
          <w:rFonts w:hint="eastAsia" w:asciiTheme="minorEastAsia" w:hAnsiTheme="minorEastAsia" w:eastAsiaTheme="minorEastAsia"/>
          <w:color w:val="auto"/>
          <w:szCs w:val="21"/>
          <w:highlight w:val="none"/>
        </w:rPr>
        <w:t>获取采购文件，并于</w:t>
      </w:r>
      <w:r>
        <w:rPr>
          <w:rFonts w:asciiTheme="minorEastAsia" w:hAnsiTheme="minorEastAsia" w:eastAsiaTheme="minorEastAsia"/>
          <w:color w:val="auto"/>
          <w:szCs w:val="21"/>
          <w:highlight w:val="none"/>
        </w:rPr>
        <w:t>202</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bCs/>
          <w:color w:val="auto"/>
          <w:szCs w:val="21"/>
          <w:highlight w:val="none"/>
          <w:u w:val="single"/>
        </w:rPr>
        <w:t>年</w:t>
      </w:r>
      <w:r>
        <w:rPr>
          <w:rFonts w:hint="eastAsia" w:asciiTheme="minorEastAsia" w:hAnsiTheme="minorEastAsia" w:eastAsiaTheme="minorEastAsia"/>
          <w:color w:val="auto"/>
          <w:szCs w:val="21"/>
          <w:highlight w:val="none"/>
          <w:u w:val="single"/>
          <w:lang w:val="en-US" w:eastAsia="zh-CN"/>
        </w:rPr>
        <w:t>11</w:t>
      </w:r>
      <w:r>
        <w:rPr>
          <w:rFonts w:hint="eastAsia" w:asciiTheme="minorEastAsia" w:hAnsiTheme="minorEastAsia" w:eastAsiaTheme="minorEastAsia"/>
          <w:bCs/>
          <w:color w:val="auto"/>
          <w:szCs w:val="21"/>
          <w:highlight w:val="none"/>
          <w:u w:val="single"/>
        </w:rPr>
        <w:t>月</w:t>
      </w:r>
      <w:r>
        <w:rPr>
          <w:rFonts w:hint="eastAsia" w:asciiTheme="minorEastAsia" w:hAnsiTheme="minorEastAsia" w:eastAsiaTheme="minorEastAsia"/>
          <w:color w:val="auto"/>
          <w:szCs w:val="21"/>
          <w:highlight w:val="none"/>
          <w:u w:val="single"/>
          <w:lang w:val="en-US" w:eastAsia="zh-CN"/>
        </w:rPr>
        <w:t>09</w:t>
      </w:r>
      <w:r>
        <w:rPr>
          <w:rFonts w:hint="eastAsia" w:asciiTheme="minorEastAsia" w:hAnsiTheme="minorEastAsia" w:eastAsiaTheme="minorEastAsia"/>
          <w:bCs/>
          <w:color w:val="auto"/>
          <w:szCs w:val="21"/>
          <w:highlight w:val="none"/>
          <w:u w:val="single"/>
        </w:rPr>
        <w:t>日09点00分（</w:t>
      </w:r>
      <w:r>
        <w:rPr>
          <w:rFonts w:hint="eastAsia" w:asciiTheme="minorEastAsia" w:hAnsiTheme="minorEastAsia" w:eastAsiaTheme="minorEastAsia"/>
          <w:bCs/>
          <w:color w:val="auto"/>
          <w:szCs w:val="21"/>
          <w:highlight w:val="none"/>
        </w:rPr>
        <w:t>北京时间）前递交投标文件</w:t>
      </w:r>
      <w:r>
        <w:rPr>
          <w:rFonts w:hint="eastAsia" w:asciiTheme="minorEastAsia" w:hAnsiTheme="minorEastAsia" w:eastAsiaTheme="minorEastAsia"/>
          <w:color w:val="auto"/>
          <w:szCs w:val="21"/>
          <w:highlight w:val="none"/>
        </w:rPr>
        <w:t>。</w:t>
      </w:r>
    </w:p>
    <w:p>
      <w:pPr>
        <w:widowControl/>
        <w:spacing w:line="380" w:lineRule="exact"/>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一、项目基本情况</w:t>
      </w:r>
    </w:p>
    <w:p>
      <w:pPr>
        <w:widowControl/>
        <w:spacing w:line="380" w:lineRule="exact"/>
        <w:ind w:firstLine="420" w:firstLineChars="200"/>
        <w:contextualSpacing/>
        <w:jc w:val="left"/>
        <w:rPr>
          <w:rFonts w:asciiTheme="minorEastAsia" w:hAnsiTheme="minorEastAsia" w:eastAsiaTheme="minorEastAsia"/>
          <w:color w:val="auto"/>
          <w:szCs w:val="21"/>
          <w:highlight w:val="none"/>
          <w:u w:val="single"/>
        </w:rPr>
      </w:pPr>
      <w:r>
        <w:rPr>
          <w:rFonts w:cs="宋体" w:asciiTheme="minorEastAsia" w:hAnsiTheme="minorEastAsia" w:eastAsiaTheme="minorEastAsia"/>
          <w:color w:val="auto"/>
          <w:szCs w:val="21"/>
          <w:highlight w:val="none"/>
        </w:rPr>
        <w:t>项目编号：</w:t>
      </w:r>
      <w:r>
        <w:rPr>
          <w:rFonts w:hint="eastAsia" w:asciiTheme="minorEastAsia" w:hAnsiTheme="minorEastAsia" w:eastAsiaTheme="minorEastAsia"/>
          <w:color w:val="auto"/>
          <w:szCs w:val="21"/>
          <w:highlight w:val="none"/>
        </w:rPr>
        <w:t>ZGTZZB2023-1004</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项目名称：</w:t>
      </w:r>
      <w:r>
        <w:rPr>
          <w:rFonts w:hint="eastAsia" w:asciiTheme="minorEastAsia" w:hAnsiTheme="minorEastAsia" w:eastAsiaTheme="minorEastAsia"/>
          <w:color w:val="auto"/>
          <w:szCs w:val="21"/>
          <w:highlight w:val="none"/>
        </w:rPr>
        <w:t>台州学院医学院康复实验室教学仪器设备采购项目</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预算金额</w:t>
      </w:r>
      <w:r>
        <w:rPr>
          <w:rFonts w:hint="eastAsia" w:cs="宋体" w:asciiTheme="minorEastAsia" w:hAnsiTheme="minorEastAsia" w:eastAsiaTheme="minorEastAsia"/>
          <w:color w:val="auto"/>
          <w:szCs w:val="21"/>
          <w:highlight w:val="none"/>
        </w:rPr>
        <w:t>（元）</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1020000</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最高限价</w:t>
      </w:r>
      <w:r>
        <w:rPr>
          <w:rFonts w:hint="eastAsia" w:cs="宋体" w:asciiTheme="minorEastAsia" w:hAnsiTheme="minorEastAsia" w:eastAsiaTheme="minorEastAsia"/>
          <w:color w:val="auto"/>
          <w:szCs w:val="21"/>
          <w:highlight w:val="none"/>
        </w:rPr>
        <w:t>（元）</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10</w:t>
      </w:r>
      <w:r>
        <w:rPr>
          <w:rFonts w:hint="eastAsia" w:cs="宋体" w:asciiTheme="minorEastAsia" w:hAnsiTheme="minorEastAsia" w:eastAsiaTheme="minorEastAsia"/>
          <w:color w:val="auto"/>
          <w:szCs w:val="21"/>
          <w:highlight w:val="none"/>
          <w:lang w:val="en-US" w:eastAsia="zh-CN"/>
        </w:rPr>
        <w:t>0</w:t>
      </w:r>
      <w:r>
        <w:rPr>
          <w:rFonts w:hint="eastAsia" w:cs="宋体" w:asciiTheme="minorEastAsia" w:hAnsiTheme="minorEastAsia" w:eastAsiaTheme="minorEastAsia"/>
          <w:color w:val="auto"/>
          <w:szCs w:val="21"/>
          <w:highlight w:val="none"/>
        </w:rPr>
        <w:t>0000</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采购需求：</w:t>
      </w:r>
      <w:r>
        <w:rPr>
          <w:rFonts w:hint="eastAsia" w:cs="宋体" w:asciiTheme="minorEastAsia" w:hAnsiTheme="minorEastAsia" w:eastAsiaTheme="minorEastAsia"/>
          <w:color w:val="auto"/>
          <w:szCs w:val="21"/>
          <w:highlight w:val="none"/>
        </w:rPr>
        <w:t>详见采购文件第五部分“采购内容及要求”</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标项一：</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标项名称：</w:t>
      </w:r>
      <w:r>
        <w:rPr>
          <w:rFonts w:hint="eastAsia" w:asciiTheme="minorEastAsia" w:hAnsiTheme="minorEastAsia" w:eastAsiaTheme="minorEastAsia"/>
          <w:color w:val="auto"/>
          <w:sz w:val="21"/>
          <w:szCs w:val="21"/>
          <w:highlight w:val="none"/>
        </w:rPr>
        <w:t>台州学院医学院康复实验室教学仪器设备采购项目</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数量：1项</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预算金额（元）：</w:t>
      </w:r>
      <w:r>
        <w:rPr>
          <w:rFonts w:asciiTheme="minorEastAsia" w:hAnsiTheme="minorEastAsia" w:eastAsiaTheme="minorEastAsia"/>
          <w:color w:val="auto"/>
          <w:kern w:val="2"/>
          <w:sz w:val="21"/>
          <w:szCs w:val="21"/>
          <w:highlight w:val="none"/>
        </w:rPr>
        <w:t>1020000</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最高限价</w:t>
      </w:r>
      <w:r>
        <w:rPr>
          <w:rFonts w:hint="eastAsia" w:cs="宋体" w:asciiTheme="minorEastAsia" w:hAnsiTheme="minorEastAsia" w:eastAsiaTheme="minorEastAsia"/>
          <w:color w:val="auto"/>
          <w:szCs w:val="21"/>
          <w:highlight w:val="none"/>
        </w:rPr>
        <w:t>（元）</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10</w:t>
      </w:r>
      <w:r>
        <w:rPr>
          <w:rFonts w:hint="eastAsia" w:cs="宋体" w:asciiTheme="minorEastAsia" w:hAnsiTheme="minorEastAsia" w:eastAsiaTheme="minorEastAsia"/>
          <w:color w:val="auto"/>
          <w:szCs w:val="21"/>
          <w:highlight w:val="none"/>
          <w:lang w:val="en-US" w:eastAsia="zh-CN"/>
        </w:rPr>
        <w:t>0</w:t>
      </w:r>
      <w:r>
        <w:rPr>
          <w:rFonts w:hint="eastAsia" w:cs="宋体" w:asciiTheme="minorEastAsia" w:hAnsiTheme="minorEastAsia" w:eastAsiaTheme="minorEastAsia"/>
          <w:color w:val="auto"/>
          <w:szCs w:val="21"/>
          <w:highlight w:val="none"/>
        </w:rPr>
        <w:t>0000</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简要规格描述或项目基本概况介绍、用途：具体内容详见采购文件第五部分“采购内容及要求”。</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交货期</w:t>
      </w:r>
      <w:r>
        <w:rPr>
          <w:rFonts w:asciiTheme="minorEastAsia" w:hAnsiTheme="minorEastAsia" w:eastAsiaTheme="minorEastAsia"/>
          <w:color w:val="auto"/>
          <w:kern w:val="2"/>
          <w:sz w:val="21"/>
          <w:szCs w:val="21"/>
          <w:highlight w:val="none"/>
        </w:rPr>
        <w:t>：</w:t>
      </w:r>
      <w:r>
        <w:rPr>
          <w:rFonts w:hint="eastAsia" w:asciiTheme="minorEastAsia" w:hAnsiTheme="minorEastAsia" w:eastAsiaTheme="minorEastAsia"/>
          <w:color w:val="auto"/>
          <w:kern w:val="2"/>
          <w:sz w:val="21"/>
          <w:szCs w:val="21"/>
          <w:highlight w:val="none"/>
        </w:rPr>
        <w:t>合同签订后30日历天内交货。</w:t>
      </w:r>
    </w:p>
    <w:p>
      <w:pPr>
        <w:pStyle w:val="43"/>
        <w:spacing w:before="0" w:beforeAutospacing="0" w:after="0" w:afterAutospacing="0" w:line="380" w:lineRule="exact"/>
        <w:ind w:firstLine="420" w:firstLineChars="200"/>
        <w:contextualSpacing/>
        <w:rPr>
          <w:rFonts w:asciiTheme="minorEastAsia" w:hAnsiTheme="minorEastAsia" w:eastAsiaTheme="minorEastAsia"/>
          <w:color w:val="auto"/>
          <w:kern w:val="2"/>
          <w:sz w:val="21"/>
          <w:szCs w:val="21"/>
          <w:highlight w:val="none"/>
        </w:rPr>
      </w:pPr>
      <w:r>
        <w:rPr>
          <w:rFonts w:asciiTheme="minorEastAsia" w:hAnsiTheme="minorEastAsia" w:eastAsiaTheme="minorEastAsia"/>
          <w:color w:val="auto"/>
          <w:kern w:val="2"/>
          <w:sz w:val="21"/>
          <w:szCs w:val="21"/>
          <w:highlight w:val="none"/>
        </w:rPr>
        <w:t>本项目（</w:t>
      </w:r>
      <w:r>
        <w:rPr>
          <w:rFonts w:hint="eastAsia" w:asciiTheme="minorEastAsia" w:hAnsiTheme="minorEastAsia" w:eastAsiaTheme="minorEastAsia"/>
          <w:color w:val="auto"/>
          <w:kern w:val="2"/>
          <w:sz w:val="21"/>
          <w:szCs w:val="21"/>
          <w:highlight w:val="none"/>
        </w:rPr>
        <w:t>否</w:t>
      </w:r>
      <w:r>
        <w:rPr>
          <w:rFonts w:asciiTheme="minorEastAsia" w:hAnsiTheme="minorEastAsia" w:eastAsiaTheme="minorEastAsia"/>
          <w:color w:val="auto"/>
          <w:kern w:val="2"/>
          <w:sz w:val="21"/>
          <w:szCs w:val="21"/>
          <w:highlight w:val="none"/>
        </w:rPr>
        <w:t>）接受联合体投标。</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本项目（</w:t>
      </w:r>
      <w:r>
        <w:rPr>
          <w:rFonts w:hint="eastAsia" w:asciiTheme="minorEastAsia" w:hAnsiTheme="minorEastAsia" w:eastAsiaTheme="minorEastAsia"/>
          <w:color w:val="auto"/>
          <w:szCs w:val="21"/>
          <w:highlight w:val="none"/>
        </w:rPr>
        <w:t>否</w:t>
      </w:r>
      <w:r>
        <w:rPr>
          <w:rFonts w:cs="宋体" w:asciiTheme="minorEastAsia" w:hAnsiTheme="minorEastAsia" w:eastAsiaTheme="minorEastAsia"/>
          <w:color w:val="auto"/>
          <w:szCs w:val="21"/>
          <w:highlight w:val="none"/>
        </w:rPr>
        <w:t>）接受</w:t>
      </w:r>
      <w:r>
        <w:rPr>
          <w:rFonts w:hint="eastAsia" w:cs="宋体" w:asciiTheme="minorEastAsia" w:hAnsiTheme="minorEastAsia" w:eastAsiaTheme="minorEastAsia"/>
          <w:color w:val="auto"/>
          <w:szCs w:val="21"/>
          <w:highlight w:val="none"/>
        </w:rPr>
        <w:t>分包。</w:t>
      </w:r>
    </w:p>
    <w:p>
      <w:pPr>
        <w:widowControl/>
        <w:spacing w:line="380" w:lineRule="exact"/>
        <w:contextualSpacing/>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二、申请人的资格要求</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满足《中华人民共和国政府采购法》第二十二条规定；未被“信用中国”（www.creditchina.gov.cn)、中国政府采购网（www.ccgp.gov.cn）列入失信被执行人、重大税收违法</w:t>
      </w:r>
      <w:r>
        <w:rPr>
          <w:rFonts w:hint="eastAsia" w:cs="宋体" w:asciiTheme="minorEastAsia" w:hAnsiTheme="minorEastAsia" w:eastAsiaTheme="minorEastAsia"/>
          <w:color w:val="auto"/>
          <w:szCs w:val="21"/>
          <w:highlight w:val="none"/>
        </w:rPr>
        <w:t>失信主体</w:t>
      </w:r>
      <w:r>
        <w:rPr>
          <w:rFonts w:cs="宋体" w:asciiTheme="minorEastAsia" w:hAnsiTheme="minorEastAsia" w:eastAsiaTheme="minorEastAsia"/>
          <w:color w:val="auto"/>
          <w:szCs w:val="21"/>
          <w:highlight w:val="none"/>
        </w:rPr>
        <w:t>、政府采购严重违法失信行为记录名单。</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2、落实政府采购政策需满足的资格要求：本项目专门面向中小企业采购（须在资格证明文件里提供《中小企业声明函》）。</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r>
        <w:rPr>
          <w:rFonts w:cs="宋体" w:asciiTheme="minorEastAsia" w:hAnsiTheme="minorEastAsia" w:eastAsiaTheme="minorEastAsia"/>
          <w:color w:val="auto"/>
          <w:szCs w:val="21"/>
          <w:highlight w:val="none"/>
        </w:rPr>
        <w:t>本项目的特定资格要求：</w:t>
      </w:r>
      <w:r>
        <w:rPr>
          <w:rFonts w:hint="eastAsia" w:cs="宋体" w:asciiTheme="minorEastAsia" w:hAnsiTheme="minorEastAsia" w:eastAsiaTheme="minorEastAsia"/>
          <w:color w:val="auto"/>
          <w:szCs w:val="21"/>
          <w:highlight w:val="none"/>
        </w:rPr>
        <w:t>无</w:t>
      </w:r>
      <w:r>
        <w:rPr>
          <w:rFonts w:cs="宋体" w:asciiTheme="minorEastAsia" w:hAnsiTheme="minorEastAsia" w:eastAsiaTheme="minorEastAsia"/>
          <w:color w:val="auto"/>
          <w:szCs w:val="21"/>
          <w:highlight w:val="none"/>
        </w:rPr>
        <w:t>。</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4、</w:t>
      </w:r>
      <w:r>
        <w:rPr>
          <w:rFonts w:cs="宋体" w:asciiTheme="minorEastAsia" w:hAnsiTheme="minorEastAsia" w:eastAsiaTheme="minorEastAsia"/>
          <w:color w:val="auto"/>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spacing w:line="380" w:lineRule="exact"/>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三、获取采购文件</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时间：</w:t>
      </w:r>
      <w:r>
        <w:rPr>
          <w:rFonts w:cs="宋体" w:asciiTheme="minorEastAsia" w:hAnsiTheme="minorEastAsia" w:eastAsiaTheme="minorEastAsia"/>
          <w:color w:val="auto"/>
          <w:szCs w:val="21"/>
          <w:highlight w:val="none"/>
        </w:rPr>
        <w:t>/至2023年</w:t>
      </w:r>
      <w:r>
        <w:rPr>
          <w:rFonts w:hint="eastAsia" w:cs="宋体" w:asciiTheme="minorEastAsia" w:hAnsiTheme="minorEastAsia" w:eastAsiaTheme="minorEastAsia"/>
          <w:color w:val="auto"/>
          <w:szCs w:val="21"/>
          <w:highlight w:val="none"/>
          <w:lang w:val="en-US" w:eastAsia="zh-CN"/>
        </w:rPr>
        <w:t>11</w:t>
      </w:r>
      <w:r>
        <w:rPr>
          <w:rFonts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lang w:val="en-US" w:eastAsia="zh-CN"/>
        </w:rPr>
        <w:t>09</w:t>
      </w:r>
      <w:r>
        <w:rPr>
          <w:rFonts w:cs="宋体" w:asciiTheme="minorEastAsia" w:hAnsiTheme="minorEastAsia" w:eastAsiaTheme="minorEastAsia"/>
          <w:color w:val="auto"/>
          <w:szCs w:val="21"/>
          <w:highlight w:val="none"/>
        </w:rPr>
        <w:t>日 ，每天上午00:00至12:00 ，下午12:00至23:59（北京时间，线上获取法定节假日均可，线下获取文件法定节假日除外）</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地点（网址）：</w:t>
      </w:r>
      <w:r>
        <w:rPr>
          <w:rFonts w:hint="eastAsia" w:cs="宋体" w:asciiTheme="minorEastAsia" w:hAnsiTheme="minorEastAsia" w:eastAsiaTheme="minorEastAsia"/>
          <w:color w:val="auto"/>
          <w:szCs w:val="21"/>
          <w:highlight w:val="none"/>
        </w:rPr>
        <w:t>政采云平台（</w:t>
      </w:r>
      <w:r>
        <w:rPr>
          <w:rFonts w:cs="宋体" w:asciiTheme="minorEastAsia" w:hAnsiTheme="minorEastAsia" w:eastAsiaTheme="minorEastAsia"/>
          <w:color w:val="auto"/>
          <w:szCs w:val="21"/>
          <w:highlight w:val="none"/>
        </w:rPr>
        <w:t>https://www.zcygov.cn/）</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方式：</w:t>
      </w:r>
      <w:r>
        <w:rPr>
          <w:rFonts w:hint="eastAsia" w:cs="宋体" w:asciiTheme="minorEastAsia" w:hAnsiTheme="minorEastAsia" w:eastAsiaTheme="minorEastAsia"/>
          <w:color w:val="auto"/>
          <w:szCs w:val="21"/>
          <w:highlight w:val="none"/>
        </w:rPr>
        <w:t>本项目采购文件实行“政府采购云平台”在线获取，不提供采购文件纸质版。供应商获取采购文件前应先完成“政府采购云平台”的账号注册；</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潜在供应商登陆政采云平台，在线申请获取采购文件（进入“项目采购”应用，在获取采购文件菜单中选择项目，申请获取采购文件；仅需浏览采购文件的供应商可点击“游客，浏览采购文件”直接下载采购文件浏览）；</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spacing w:line="380" w:lineRule="exact"/>
        <w:ind w:firstLine="517" w:firstLineChars="245"/>
        <w:contextualSpacing/>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注：请供应商按上述要求获取采购文件，未依法获取采购文件的供应商不得对本项目提起质疑、投诉，不得参加本项目的投标活动；如未在“政采云”系统内完成相关流程，引起的投标无效责任自负。</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售价（元）：0</w:t>
      </w:r>
    </w:p>
    <w:p>
      <w:pPr>
        <w:widowControl/>
        <w:spacing w:line="380" w:lineRule="exact"/>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四、提交投标文件截止时间、开标时间和地点</w:t>
      </w:r>
    </w:p>
    <w:p>
      <w:pPr>
        <w:widowControl/>
        <w:spacing w:line="380" w:lineRule="exact"/>
        <w:ind w:firstLine="422"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提交投标文件截止时间：</w:t>
      </w:r>
      <w:r>
        <w:rPr>
          <w:rFonts w:hint="eastAsia" w:cs="宋体" w:asciiTheme="minorEastAsia" w:hAnsiTheme="minorEastAsia" w:eastAsiaTheme="minorEastAsia"/>
          <w:color w:val="auto"/>
          <w:szCs w:val="21"/>
          <w:highlight w:val="none"/>
        </w:rPr>
        <w:t>2023年</w:t>
      </w:r>
      <w:r>
        <w:rPr>
          <w:rFonts w:hint="eastAsia" w:cs="宋体" w:asciiTheme="minorEastAsia" w:hAnsiTheme="minorEastAsia" w:eastAsiaTheme="minorEastAsia"/>
          <w:color w:val="auto"/>
          <w:szCs w:val="21"/>
          <w:highlight w:val="none"/>
          <w:lang w:val="en-US" w:eastAsia="zh-CN"/>
        </w:rPr>
        <w:t>11</w:t>
      </w:r>
      <w:r>
        <w:rPr>
          <w:rFonts w:hint="eastAsia"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lang w:val="en-US" w:eastAsia="zh-CN"/>
        </w:rPr>
        <w:t>09</w:t>
      </w:r>
      <w:r>
        <w:rPr>
          <w:rFonts w:hint="eastAsia" w:cs="宋体" w:asciiTheme="minorEastAsia" w:hAnsiTheme="minorEastAsia" w:eastAsiaTheme="minorEastAsia"/>
          <w:color w:val="auto"/>
          <w:szCs w:val="21"/>
          <w:highlight w:val="none"/>
        </w:rPr>
        <w:t>日</w:t>
      </w:r>
      <w:r>
        <w:rPr>
          <w:rFonts w:cs="宋体" w:asciiTheme="minorEastAsia" w:hAnsiTheme="minorEastAsia" w:eastAsiaTheme="minorEastAsia"/>
          <w:color w:val="auto"/>
          <w:szCs w:val="21"/>
          <w:highlight w:val="none"/>
        </w:rPr>
        <w:t>09:00（北京时间）</w:t>
      </w:r>
    </w:p>
    <w:p>
      <w:pPr>
        <w:widowControl/>
        <w:spacing w:line="380" w:lineRule="exact"/>
        <w:ind w:firstLine="422"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b/>
          <w:color w:val="auto"/>
          <w:szCs w:val="21"/>
          <w:highlight w:val="none"/>
        </w:rPr>
        <w:t>投标地点（网址）：</w:t>
      </w:r>
      <w:r>
        <w:rPr>
          <w:rFonts w:hint="eastAsia" w:cs="宋体" w:asciiTheme="minorEastAsia" w:hAnsiTheme="minorEastAsia" w:eastAsiaTheme="minorEastAsia"/>
          <w:color w:val="auto"/>
          <w:szCs w:val="21"/>
          <w:highlight w:val="none"/>
        </w:rPr>
        <w:t>通过政采云平台（</w:t>
      </w:r>
      <w:r>
        <w:rPr>
          <w:rFonts w:cs="宋体" w:asciiTheme="minorEastAsia" w:hAnsiTheme="minorEastAsia" w:eastAsiaTheme="minorEastAsia"/>
          <w:color w:val="auto"/>
          <w:szCs w:val="21"/>
          <w:highlight w:val="none"/>
        </w:rPr>
        <w:t xml:space="preserve">www.zcygov.cn）”实行在线投标响应（电子投标） </w:t>
      </w:r>
      <w:r>
        <w:rPr>
          <w:rFonts w:hint="eastAsia" w:cs="宋体" w:asciiTheme="minorEastAsia" w:hAnsiTheme="minorEastAsia" w:eastAsiaTheme="minorEastAsia"/>
          <w:color w:val="auto"/>
          <w:szCs w:val="21"/>
          <w:highlight w:val="none"/>
        </w:rPr>
        <w:t>。</w:t>
      </w:r>
    </w:p>
    <w:p>
      <w:pPr>
        <w:widowControl/>
        <w:spacing w:line="380" w:lineRule="exact"/>
        <w:ind w:firstLine="413" w:firstLineChars="196"/>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b/>
          <w:color w:val="auto"/>
          <w:szCs w:val="21"/>
          <w:highlight w:val="none"/>
        </w:rPr>
        <w:t>开标时间：</w:t>
      </w:r>
      <w:r>
        <w:rPr>
          <w:rFonts w:hint="eastAsia" w:cs="宋体" w:asciiTheme="minorEastAsia" w:hAnsiTheme="minorEastAsia" w:eastAsiaTheme="minorEastAsia"/>
          <w:color w:val="auto"/>
          <w:szCs w:val="21"/>
          <w:highlight w:val="none"/>
        </w:rPr>
        <w:t>2023年</w:t>
      </w:r>
      <w:r>
        <w:rPr>
          <w:rFonts w:hint="eastAsia" w:cs="宋体" w:asciiTheme="minorEastAsia" w:hAnsiTheme="minorEastAsia" w:eastAsiaTheme="minorEastAsia"/>
          <w:color w:val="auto"/>
          <w:szCs w:val="21"/>
          <w:highlight w:val="none"/>
          <w:lang w:val="en-US" w:eastAsia="zh-CN"/>
        </w:rPr>
        <w:t>11</w:t>
      </w:r>
      <w:r>
        <w:rPr>
          <w:rFonts w:hint="eastAsia"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lang w:val="en-US" w:eastAsia="zh-CN"/>
        </w:rPr>
        <w:t>09</w:t>
      </w:r>
      <w:r>
        <w:rPr>
          <w:rFonts w:hint="eastAsia" w:cs="宋体" w:asciiTheme="minorEastAsia" w:hAnsiTheme="minorEastAsia" w:eastAsiaTheme="minorEastAsia"/>
          <w:color w:val="auto"/>
          <w:szCs w:val="21"/>
          <w:highlight w:val="none"/>
        </w:rPr>
        <w:t>日</w:t>
      </w:r>
      <w:r>
        <w:rPr>
          <w:rFonts w:cs="宋体" w:asciiTheme="minorEastAsia" w:hAnsiTheme="minorEastAsia" w:eastAsiaTheme="minorEastAsia"/>
          <w:color w:val="auto"/>
          <w:szCs w:val="21"/>
          <w:highlight w:val="none"/>
        </w:rPr>
        <w:t xml:space="preserve">09:00 </w:t>
      </w:r>
    </w:p>
    <w:p>
      <w:pPr>
        <w:widowControl/>
        <w:spacing w:line="380" w:lineRule="exact"/>
        <w:ind w:firstLine="420" w:firstLineChars="199"/>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b/>
          <w:color w:val="auto"/>
          <w:szCs w:val="21"/>
          <w:highlight w:val="none"/>
        </w:rPr>
        <w:t>开标地点（网址）：</w:t>
      </w:r>
      <w:r>
        <w:rPr>
          <w:rFonts w:hint="eastAsia" w:cs="宋体" w:asciiTheme="minorEastAsia" w:hAnsiTheme="minorEastAsia" w:eastAsiaTheme="minorEastAsia"/>
          <w:color w:val="auto"/>
          <w:szCs w:val="21"/>
          <w:highlight w:val="none"/>
        </w:rPr>
        <w:t>浙江省台州市椒江区市府大道</w:t>
      </w:r>
      <w:r>
        <w:rPr>
          <w:rFonts w:cs="宋体" w:asciiTheme="minorEastAsia" w:hAnsiTheme="minorEastAsia" w:eastAsiaTheme="minorEastAsia"/>
          <w:color w:val="auto"/>
          <w:szCs w:val="21"/>
          <w:highlight w:val="none"/>
        </w:rPr>
        <w:t>777号民泰大楼3楼一号开标室A场地</w:t>
      </w:r>
      <w:r>
        <w:rPr>
          <w:rFonts w:hint="eastAsia" w:cs="宋体" w:asciiTheme="minorEastAsia" w:hAnsiTheme="minorEastAsia" w:eastAsiaTheme="minorEastAsia"/>
          <w:color w:val="auto"/>
          <w:szCs w:val="21"/>
          <w:highlight w:val="none"/>
        </w:rPr>
        <w:t>。</w:t>
      </w:r>
    </w:p>
    <w:p>
      <w:pPr>
        <w:widowControl/>
        <w:spacing w:line="380" w:lineRule="exact"/>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五、公告期限</w:t>
      </w:r>
    </w:p>
    <w:p>
      <w:pPr>
        <w:widowControl/>
        <w:spacing w:line="380" w:lineRule="exact"/>
        <w:ind w:firstLine="420" w:firstLineChars="200"/>
        <w:contextualSpacing/>
        <w:jc w:val="left"/>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自本公告发布之日起5个工作日。</w:t>
      </w:r>
    </w:p>
    <w:p>
      <w:pPr>
        <w:widowControl/>
        <w:spacing w:line="380" w:lineRule="exact"/>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六、其他补充事宜</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bookmarkStart w:id="10" w:name="_Toc35393796"/>
      <w:bookmarkStart w:id="11" w:name="_Toc28359085"/>
      <w:bookmarkStart w:id="12" w:name="_Toc28359008"/>
      <w:bookmarkStart w:id="13" w:name="_Toc35393627"/>
      <w:r>
        <w:rPr>
          <w:rFonts w:cs="宋体" w:asciiTheme="minorEastAsia" w:hAnsiTheme="minorEastAsia" w:eastAsiaTheme="minorEastAsia"/>
          <w:color w:val="auto"/>
          <w:szCs w:val="21"/>
          <w:highlight w:val="none"/>
        </w:rPr>
        <w:t>1</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供应商认为采购文件使自己的权益受到损害的，可以自获取采购文件之日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2</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其他事项：</w:t>
      </w:r>
    </w:p>
    <w:bookmarkEnd w:id="10"/>
    <w:bookmarkEnd w:id="11"/>
    <w:bookmarkEnd w:id="12"/>
    <w:bookmarkEnd w:id="13"/>
    <w:p>
      <w:pPr>
        <w:snapToGrid w:val="0"/>
        <w:spacing w:line="38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（1）需要落实的政府采购政策：</w:t>
      </w:r>
      <w:r>
        <w:rPr>
          <w:rFonts w:cs="宋体" w:asciiTheme="minorEastAsia" w:hAnsiTheme="minorEastAsia" w:eastAsiaTheme="minorEastAsia"/>
          <w:color w:val="auto"/>
          <w:szCs w:val="21"/>
          <w:highlight w:val="none"/>
        </w:rPr>
        <w:t>《关于促进残疾人就业政府采购政策的通知》（财库</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2018</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141号）、《</w:t>
      </w:r>
      <w:r>
        <w:rPr>
          <w:rFonts w:hint="eastAsia" w:cs="宋体" w:asciiTheme="minorEastAsia" w:hAnsiTheme="minorEastAsia" w:eastAsiaTheme="minorEastAsia"/>
          <w:color w:val="auto"/>
          <w:szCs w:val="21"/>
          <w:highlight w:val="none"/>
        </w:rPr>
        <w:t>政府采购促进中小企业发展管理办法</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（财库〔2020〕46号）</w:t>
      </w:r>
      <w:r>
        <w:rPr>
          <w:rFonts w:cs="宋体" w:asciiTheme="minorEastAsia" w:hAnsiTheme="minorEastAsia" w:eastAsiaTheme="minorEastAsia"/>
          <w:color w:val="auto"/>
          <w:szCs w:val="21"/>
          <w:highlight w:val="none"/>
        </w:rPr>
        <w:t>、《关于政府采购支持监狱企业发展有关问题的通知》（财库</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2014</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68号）、《关于调整优化节能产品、环境标志产品政府采购执行机制的通知》（财库〔2019〕9号）</w:t>
      </w:r>
      <w:r>
        <w:rPr>
          <w:rFonts w:hint="eastAsia" w:cs="宋体" w:asciiTheme="minorEastAsia" w:hAnsiTheme="minorEastAsia" w:eastAsiaTheme="minorEastAsia"/>
          <w:color w:val="auto"/>
          <w:szCs w:val="21"/>
          <w:highlight w:val="none"/>
        </w:rPr>
        <w:t>。</w:t>
      </w:r>
    </w:p>
    <w:p>
      <w:pPr>
        <w:snapToGrid w:val="0"/>
        <w:spacing w:line="38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（2）电子招投标的说明：</w:t>
      </w:r>
    </w:p>
    <w:p>
      <w:pPr>
        <w:snapToGrid w:val="0"/>
        <w:spacing w:line="38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①电子招投标：本项目以数据电文形式，依托“政府采购云平台（www.zcygov.cn）”进行招投标活动，不接受纸质投标文件；</w:t>
      </w:r>
    </w:p>
    <w:p>
      <w:pPr>
        <w:snapToGrid w:val="0"/>
        <w:spacing w:line="38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          </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③采购文件的获取：使用账号登录或者使用CA登录政采云平台；进入“项目采购”应用，在获取采购文件菜单中选择项目，获取采购文件； </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④投标文件的制作：在“政采云电子交易客户端”中完成“填写基本信息”、“导入投标文件”、“标书关联”、“标书检查”、“电子签名”、“生成电子标书”等操作；</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⑤采购人、采购代理机构将依托政采云平台完成本项目的电子交易活动，平台不接受未按上述方式获取采购文件的供应商进行投标活动；</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 ⑥对未按上述方式获取采购文件的供应商对该文件提出的质疑，采购人或采购代理机构将不予处理；</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⑦不提供采购文件纸质版；</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⑧投标文件的传输递交：投标人在投标截止时间前将加密的投标文件上传至政府采购云平台，并在投标截止时间前递交备份投标文件1份。备份投标文件的制作、递交详见采购文件第二部分“</w:t>
      </w:r>
      <w:r>
        <w:rPr>
          <w:rFonts w:cs="宋体" w:asciiTheme="minorEastAsia" w:hAnsiTheme="minorEastAsia" w:eastAsiaTheme="minorEastAsia"/>
          <w:color w:val="auto"/>
          <w:szCs w:val="21"/>
          <w:highlight w:val="none"/>
        </w:rPr>
        <w:t>投标资料表</w:t>
      </w:r>
      <w:r>
        <w:rPr>
          <w:rFonts w:hint="eastAsia" w:cs="宋体" w:asciiTheme="minorEastAsia" w:hAnsiTheme="minorEastAsia" w:eastAsiaTheme="minorEastAsia"/>
          <w:color w:val="auto"/>
          <w:szCs w:val="21"/>
          <w:highlight w:val="none"/>
        </w:rPr>
        <w:t>”第9条；</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⑨投标文件的解密：投标人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widowControl/>
        <w:spacing w:line="380" w:lineRule="exact"/>
        <w:ind w:firstLine="420" w:firstLineChars="200"/>
        <w:contextualSpacing/>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⑩具体操作指南：详见政采云平台“服务中心-帮助文档-项目采购-操作流程-电子招投标-政府采购项目电子交易管理操作指南-供应商”。</w:t>
      </w:r>
    </w:p>
    <w:p>
      <w:pPr>
        <w:snapToGrid w:val="0"/>
        <w:spacing w:line="380" w:lineRule="exact"/>
        <w:outlineLvl w:val="1"/>
        <w:rPr>
          <w:rFonts w:cs="仿宋" w:asciiTheme="minorEastAsia" w:hAnsiTheme="minorEastAsia" w:eastAsiaTheme="minorEastAsia"/>
          <w:b/>
          <w:color w:val="auto"/>
          <w:szCs w:val="21"/>
          <w:highlight w:val="none"/>
        </w:rPr>
      </w:pPr>
      <w:r>
        <w:rPr>
          <w:rFonts w:hint="eastAsia" w:cs="仿宋" w:asciiTheme="minorEastAsia" w:hAnsiTheme="minorEastAsia" w:eastAsiaTheme="minorEastAsia"/>
          <w:b/>
          <w:color w:val="auto"/>
          <w:szCs w:val="21"/>
          <w:highlight w:val="none"/>
        </w:rPr>
        <w:t>七、对本次采购提出询问、质疑、投诉，请按以下方式联系</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1、采购人信息</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名称：</w:t>
      </w:r>
      <w:r>
        <w:rPr>
          <w:rFonts w:hint="eastAsia" w:asciiTheme="minorEastAsia" w:hAnsiTheme="minorEastAsia" w:eastAsiaTheme="minorEastAsia"/>
          <w:color w:val="auto"/>
          <w:szCs w:val="21"/>
          <w:highlight w:val="none"/>
        </w:rPr>
        <w:t>台州学院</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地</w:t>
      </w:r>
      <w:r>
        <w:rPr>
          <w:rFonts w:hint="eastAsia" w:asciiTheme="minorEastAsia" w:hAnsiTheme="minorEastAsia" w:eastAsiaTheme="minorEastAsia"/>
          <w:color w:val="auto"/>
          <w:szCs w:val="21"/>
          <w:highlight w:val="none"/>
        </w:rPr>
        <w:t>址：浙江省台州市椒江区市府大道1139号</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传真：/</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项目联系人（询问）：梁老师</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项目联系方式（询问）：0576-88660897</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质疑联系人：吴老师</w:t>
      </w:r>
    </w:p>
    <w:p>
      <w:pPr>
        <w:widowControl/>
        <w:spacing w:line="380" w:lineRule="exact"/>
        <w:ind w:firstLine="420" w:firstLineChars="200"/>
        <w:contextualSpacing/>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质疑联系方式：0576-88660896</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2、采购代理机构信息</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名称：中冠工程管理咨询有限公司</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地址：浙江省台州市椒江区东海大道378号4楼</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传真：</w:t>
      </w:r>
      <w:r>
        <w:rPr>
          <w:rFonts w:cs="Arial" w:asciiTheme="minorEastAsia" w:hAnsiTheme="minorEastAsia" w:eastAsiaTheme="minorEastAsia"/>
          <w:color w:val="auto"/>
          <w:szCs w:val="21"/>
          <w:highlight w:val="none"/>
        </w:rPr>
        <w:t>0576-81810806</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项目联系人（询问）：戴艳燕、陈金泉、王莎莎</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项目联系方式（询问）：</w:t>
      </w:r>
      <w:r>
        <w:rPr>
          <w:rFonts w:cs="Arial" w:asciiTheme="minorEastAsia" w:hAnsiTheme="minorEastAsia" w:eastAsiaTheme="minorEastAsia"/>
          <w:color w:val="auto"/>
          <w:szCs w:val="21"/>
          <w:highlight w:val="none"/>
        </w:rPr>
        <w:t>0576-81810227、18968407875</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质疑联系人：唐虹波</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质疑联系方式：</w:t>
      </w:r>
      <w:r>
        <w:rPr>
          <w:rFonts w:cs="Arial" w:asciiTheme="minorEastAsia" w:hAnsiTheme="minorEastAsia" w:eastAsiaTheme="minorEastAsia"/>
          <w:color w:val="auto"/>
          <w:szCs w:val="21"/>
          <w:highlight w:val="none"/>
        </w:rPr>
        <w:t>0576-81810270</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3、同级政府采购监督管理部门</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名称：台州市财政局政府采购监管处</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地址：浙江省台州市椒江区纬一路</w:t>
      </w:r>
      <w:r>
        <w:rPr>
          <w:rFonts w:cs="Arial" w:asciiTheme="minorEastAsia" w:hAnsiTheme="minorEastAsia" w:eastAsiaTheme="minorEastAsia"/>
          <w:color w:val="auto"/>
          <w:szCs w:val="21"/>
          <w:highlight w:val="none"/>
        </w:rPr>
        <w:t>66号</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传真：/</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联系人：陈老师、李老师</w:t>
      </w:r>
    </w:p>
    <w:p>
      <w:pPr>
        <w:spacing w:line="380" w:lineRule="exact"/>
        <w:ind w:firstLine="420" w:firstLineChars="200"/>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监督投诉电话：</w:t>
      </w:r>
      <w:r>
        <w:rPr>
          <w:rFonts w:cs="Arial" w:asciiTheme="minorEastAsia" w:hAnsiTheme="minorEastAsia" w:eastAsiaTheme="minorEastAsia"/>
          <w:color w:val="auto"/>
          <w:szCs w:val="21"/>
          <w:highlight w:val="none"/>
        </w:rPr>
        <w:t xml:space="preserve">0576-88206705 、88206731  </w:t>
      </w:r>
    </w:p>
    <w:p>
      <w:pPr>
        <w:pStyle w:val="16"/>
        <w:ind w:firstLine="0" w:firstLineChars="0"/>
        <w:jc w:val="center"/>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八、</w:t>
      </w:r>
      <w:r>
        <w:rPr>
          <w:rFonts w:hint="eastAsia" w:cs="宋体" w:asciiTheme="minorEastAsia" w:hAnsiTheme="minorEastAsia" w:eastAsiaTheme="minorEastAsia"/>
          <w:b/>
          <w:color w:val="auto"/>
          <w:szCs w:val="21"/>
          <w:highlight w:val="none"/>
        </w:rPr>
        <w:t>中标人如有融资需求，可使用以下服务</w:t>
      </w:r>
    </w:p>
    <w:p>
      <w:pPr>
        <w:pStyle w:val="16"/>
        <w:ind w:firstLine="0" w:firstLineChars="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政采贷联系方式</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1522"/>
        <w:gridCol w:w="1647"/>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贷款年利率</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联系人</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中国工商银行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3.8%起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卢嘉诚</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中国农业银行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3.8%起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龚盛</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中国建设银行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3.8%起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梅晶晶</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3.75%起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任茜</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浦发银行台州分行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4.05%起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王渊</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浦发银行椒江分行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4.05%起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孙瑞华</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交通银行台州分行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3.75%起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周翔宇</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招商银行台州分行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4.32%起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王海玲</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浙商银行台州分行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5.01%起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章涉漪</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中信银行台州分行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4.15%起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陈金园</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华夏银行台州分行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邱明达</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泰隆银行开发区支行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5.6%起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梁宛莉</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民泰银行椒江支行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5.8%起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陈慧珠</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绍兴银行台州分行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5.1%起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郭庭斌</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温州银行台州分行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4.55%起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王晓波</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平安银行台州分行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6.53%起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李俊丽</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15906861035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宁波银行台州分行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4.35%起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戴莉丽</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金华银行台州分行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4.05%起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金雪婷</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台州银行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5.6%起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洪婷</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8"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邮储银行台州分行</w:t>
            </w:r>
          </w:p>
        </w:tc>
        <w:tc>
          <w:tcPr>
            <w:tcW w:w="84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3.85%起</w:t>
            </w:r>
          </w:p>
        </w:tc>
        <w:tc>
          <w:tcPr>
            <w:tcW w:w="909"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董庆</w:t>
            </w:r>
          </w:p>
        </w:tc>
        <w:tc>
          <w:tcPr>
            <w:tcW w:w="1982"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81888982、18957683757</w:t>
            </w:r>
          </w:p>
        </w:tc>
      </w:tr>
    </w:tbl>
    <w:p>
      <w:pPr>
        <w:pStyle w:val="26"/>
        <w:spacing w:beforeLines="50" w:afterLines="50" w:line="360" w:lineRule="auto"/>
        <w:outlineLvl w:val="0"/>
        <w:rPr>
          <w:rFonts w:asciiTheme="minorEastAsia" w:hAnsiTheme="minorEastAsia" w:eastAsiaTheme="minorEastAsia"/>
          <w:color w:val="auto"/>
          <w:highlight w:val="none"/>
        </w:rPr>
      </w:pPr>
    </w:p>
    <w:p>
      <w:pPr>
        <w:pStyle w:val="16"/>
        <w:ind w:firstLine="422"/>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合同履约保函联系方式</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2"/>
        <w:gridCol w:w="3063"/>
        <w:gridCol w:w="114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保险公司名称</w:t>
            </w:r>
          </w:p>
        </w:tc>
        <w:tc>
          <w:tcPr>
            <w:tcW w:w="1690"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保费率</w:t>
            </w:r>
          </w:p>
        </w:tc>
        <w:tc>
          <w:tcPr>
            <w:tcW w:w="633"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联系人</w:t>
            </w:r>
          </w:p>
        </w:tc>
        <w:tc>
          <w:tcPr>
            <w:tcW w:w="985" w:type="pct"/>
            <w:vAlign w:val="center"/>
          </w:tcPr>
          <w:p>
            <w:pPr>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中国人寿财产保险股份有限公司台州中心支公司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徐凌</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永诚财产保险股份有限公司台州分公司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年费率1%，最低保费1000元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尹刚强</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华泰财产保险有限公司台州中心支公司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年费率0.5%，最低保费1000元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王灵芳</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88869818、13586123199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中国大地财产保险股份有限公司台州中心支公司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年费率1.5%，最低保费1000元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徐小明</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88552788、13968603112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阳光保险台州中心支公司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林高明</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中华联合财产保险股份有限公司台州中心支公司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年费率2%，最低保费500元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王仙高</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中国人民财产保险股份有限公司台州中心支公司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年费率0.3%，最低保费1000元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王仙春</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永安财产保险股份有限公司台州中心支公司</w:t>
            </w:r>
          </w:p>
        </w:tc>
        <w:tc>
          <w:tcPr>
            <w:tcW w:w="169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年费率0.3%，最低保费1000</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王春宇</w:t>
            </w:r>
          </w:p>
        </w:tc>
        <w:tc>
          <w:tcPr>
            <w:tcW w:w="985"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13676675331</w:t>
            </w:r>
          </w:p>
        </w:tc>
      </w:tr>
    </w:tbl>
    <w:p>
      <w:pPr>
        <w:spacing w:line="276" w:lineRule="auto"/>
        <w:ind w:firstLine="738" w:firstLineChars="350"/>
        <w:jc w:val="center"/>
        <w:rPr>
          <w:rFonts w:cs="宋体" w:asciiTheme="minorEastAsia" w:hAnsiTheme="minorEastAsia" w:eastAsiaTheme="minorEastAsia"/>
          <w:b/>
          <w:color w:val="auto"/>
          <w:szCs w:val="21"/>
          <w:highlight w:val="none"/>
        </w:rPr>
      </w:pPr>
    </w:p>
    <w:p>
      <w:pPr>
        <w:spacing w:line="276" w:lineRule="auto"/>
        <w:ind w:firstLine="738" w:firstLineChars="350"/>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预付款保函联系方式</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2970"/>
        <w:gridCol w:w="114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保险公司名称</w:t>
            </w:r>
          </w:p>
        </w:tc>
        <w:tc>
          <w:tcPr>
            <w:tcW w:w="1639"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保费率</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联系人</w:t>
            </w:r>
          </w:p>
        </w:tc>
        <w:tc>
          <w:tcPr>
            <w:tcW w:w="976"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中国人寿财产保险股份有限公司台州中心支公司</w:t>
            </w:r>
          </w:p>
        </w:tc>
        <w:tc>
          <w:tcPr>
            <w:tcW w:w="1639"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年费率3%，最低保费500元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徐凌</w:t>
            </w:r>
          </w:p>
        </w:tc>
        <w:tc>
          <w:tcPr>
            <w:tcW w:w="976"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阳光保险台州中心支公司</w:t>
            </w:r>
          </w:p>
        </w:tc>
        <w:tc>
          <w:tcPr>
            <w:tcW w:w="1639"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林高明</w:t>
            </w:r>
          </w:p>
        </w:tc>
        <w:tc>
          <w:tcPr>
            <w:tcW w:w="976"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50"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天安财产保险股份有限公司台州中心支公司</w:t>
            </w:r>
          </w:p>
        </w:tc>
        <w:tc>
          <w:tcPr>
            <w:tcW w:w="1639"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年费率1%-2%，最低保费500元</w:t>
            </w:r>
          </w:p>
        </w:tc>
        <w:tc>
          <w:tcPr>
            <w:tcW w:w="633"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罗赛</w:t>
            </w:r>
          </w:p>
        </w:tc>
        <w:tc>
          <w:tcPr>
            <w:tcW w:w="976" w:type="pct"/>
            <w:vAlign w:val="center"/>
          </w:tcPr>
          <w:p>
            <w:pPr>
              <w:spacing w:line="276" w:lineRule="auto"/>
              <w:ind w:firstLine="240"/>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13736605643</w:t>
            </w:r>
          </w:p>
        </w:tc>
      </w:tr>
    </w:tbl>
    <w:p>
      <w:pPr>
        <w:spacing w:line="400" w:lineRule="exact"/>
        <w:contextualSpacing/>
        <w:jc w:val="left"/>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若对项目采购电子交易系统操作有疑问，可登录政采云（https://www.zcygov.cn/），点击右侧咨询小采，获取采小蜜智能服务管家帮助，或拨打政采云服务热线</w:t>
      </w:r>
      <w:r>
        <w:rPr>
          <w:rFonts w:cs="Arial" w:asciiTheme="minorEastAsia" w:hAnsiTheme="minorEastAsia" w:eastAsiaTheme="minorEastAsia"/>
          <w:b/>
          <w:color w:val="auto"/>
          <w:szCs w:val="21"/>
          <w:highlight w:val="none"/>
        </w:rPr>
        <w:t>95763</w:t>
      </w:r>
      <w:r>
        <w:rPr>
          <w:rFonts w:hint="eastAsia" w:cs="Arial" w:asciiTheme="minorEastAsia" w:hAnsiTheme="minorEastAsia" w:eastAsiaTheme="minorEastAsia"/>
          <w:b/>
          <w:color w:val="auto"/>
          <w:szCs w:val="21"/>
          <w:highlight w:val="none"/>
        </w:rPr>
        <w:t>获取热线服务帮助。</w:t>
      </w:r>
    </w:p>
    <w:p>
      <w:pPr>
        <w:spacing w:line="400" w:lineRule="exact"/>
        <w:ind w:firstLine="422" w:firstLineChars="200"/>
        <w:contextualSpacing/>
        <w:jc w:val="left"/>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CA问题联系电话（人工）：汇信CA400-888-4636；天谷CA400-087-8198。</w:t>
      </w:r>
      <w:bookmarkEnd w:id="7"/>
    </w:p>
    <w:p>
      <w:pPr>
        <w:spacing w:line="360" w:lineRule="auto"/>
        <w:rPr>
          <w:color w:val="auto"/>
          <w:szCs w:val="21"/>
          <w:highlight w:val="none"/>
        </w:rPr>
        <w:sectPr>
          <w:headerReference r:id="rId4" w:type="default"/>
          <w:footerReference r:id="rId5" w:type="default"/>
          <w:pgSz w:w="11907" w:h="16840"/>
          <w:pgMar w:top="1247" w:right="1531" w:bottom="1304" w:left="1531" w:header="284" w:footer="705" w:gutter="0"/>
          <w:pgNumType w:start="1"/>
          <w:cols w:space="720" w:num="1"/>
          <w:docGrid w:linePitch="285" w:charSpace="0"/>
        </w:sectPr>
      </w:pPr>
    </w:p>
    <w:bookmarkEnd w:id="8"/>
    <w:bookmarkEnd w:id="9"/>
    <w:p>
      <w:pPr>
        <w:pageBreakBefore/>
        <w:shd w:val="clear" w:color="auto" w:fill="FFFFFF"/>
        <w:snapToGrid w:val="0"/>
        <w:spacing w:line="360" w:lineRule="auto"/>
        <w:ind w:left="105"/>
        <w:jc w:val="center"/>
        <w:outlineLvl w:val="0"/>
        <w:rPr>
          <w:rFonts w:ascii="Times New Roman" w:hAnsi="Times New Roman"/>
          <w:color w:val="auto"/>
          <w:sz w:val="36"/>
          <w:szCs w:val="36"/>
          <w:highlight w:val="none"/>
        </w:rPr>
      </w:pPr>
      <w:bookmarkStart w:id="14" w:name="_Toc32413"/>
      <w:bookmarkStart w:id="15" w:name="_Toc22671"/>
      <w:bookmarkStart w:id="16" w:name="_Toc11440"/>
      <w:bookmarkStart w:id="17" w:name="_Toc18266"/>
      <w:bookmarkStart w:id="18" w:name="_Toc3692"/>
      <w:bookmarkStart w:id="19" w:name="_Toc26993"/>
      <w:r>
        <w:rPr>
          <w:rFonts w:hint="eastAsia" w:cs="宋体" w:asciiTheme="minorEastAsia" w:hAnsiTheme="minorEastAsia" w:eastAsiaTheme="minorEastAsia"/>
          <w:b/>
          <w:bCs/>
          <w:color w:val="auto"/>
          <w:sz w:val="32"/>
          <w:szCs w:val="32"/>
          <w:highlight w:val="none"/>
        </w:rPr>
        <w:t xml:space="preserve">第二部分  </w:t>
      </w:r>
      <w:bookmarkEnd w:id="14"/>
      <w:bookmarkEnd w:id="15"/>
      <w:bookmarkEnd w:id="16"/>
      <w:bookmarkEnd w:id="17"/>
      <w:bookmarkEnd w:id="18"/>
      <w:bookmarkStart w:id="20" w:name="_Toc53870597"/>
      <w:bookmarkStart w:id="21" w:name="_Toc354996695"/>
      <w:bookmarkStart w:id="22" w:name="_Toc233618971"/>
      <w:bookmarkStart w:id="23" w:name="_Toc32345"/>
      <w:bookmarkStart w:id="24" w:name="_Toc8189"/>
      <w:bookmarkStart w:id="25" w:name="_Toc5551"/>
      <w:bookmarkStart w:id="26" w:name="_Toc14033"/>
      <w:r>
        <w:rPr>
          <w:rFonts w:hint="eastAsia" w:cs="宋体" w:asciiTheme="minorEastAsia" w:hAnsiTheme="minorEastAsia" w:eastAsiaTheme="minorEastAsia"/>
          <w:b/>
          <w:bCs/>
          <w:color w:val="auto"/>
          <w:sz w:val="32"/>
          <w:szCs w:val="32"/>
          <w:highlight w:val="none"/>
        </w:rPr>
        <w:t>投标资料表</w:t>
      </w:r>
      <w:bookmarkEnd w:id="19"/>
      <w:bookmarkEnd w:id="20"/>
    </w:p>
    <w:tbl>
      <w:tblPr>
        <w:tblStyle w:val="47"/>
        <w:tblW w:w="9697"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3"/>
        <w:gridCol w:w="1314"/>
        <w:gridCol w:w="7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23" w:type="dxa"/>
            <w:tcBorders>
              <w:bottom w:val="single" w:color="auto" w:sz="4" w:space="0"/>
            </w:tcBorders>
            <w:vAlign w:val="center"/>
          </w:tcPr>
          <w:p>
            <w:pPr>
              <w:spacing w:line="360" w:lineRule="exact"/>
              <w:ind w:left="-108" w:right="-113"/>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8874" w:type="dxa"/>
            <w:gridSpan w:val="2"/>
            <w:tcBorders>
              <w:bottom w:val="single" w:color="auto" w:sz="4" w:space="0"/>
            </w:tcBorders>
            <w:vAlign w:val="center"/>
          </w:tcPr>
          <w:p>
            <w:pPr>
              <w:spacing w:line="360" w:lineRule="exact"/>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Merge w:val="restart"/>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w:t>
            </w:r>
          </w:p>
        </w:tc>
        <w:tc>
          <w:tcPr>
            <w:tcW w:w="8874" w:type="dxa"/>
            <w:gridSpan w:val="2"/>
            <w:vAlign w:val="center"/>
          </w:tcPr>
          <w:p>
            <w:pPr>
              <w:tabs>
                <w:tab w:val="left" w:pos="1580"/>
                <w:tab w:val="left" w:pos="3436"/>
                <w:tab w:val="left" w:pos="5512"/>
              </w:tabs>
              <w:spacing w:line="360" w:lineRule="exact"/>
              <w:ind w:left="21"/>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采购人：台州学院</w:t>
            </w:r>
          </w:p>
          <w:p>
            <w:pPr>
              <w:tabs>
                <w:tab w:val="left" w:pos="1580"/>
                <w:tab w:val="left" w:pos="3436"/>
                <w:tab w:val="left" w:pos="5512"/>
              </w:tabs>
              <w:spacing w:line="360" w:lineRule="exact"/>
              <w:ind w:left="21"/>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联系人：梁老师；联系电话：0576-88660897</w:t>
            </w:r>
          </w:p>
          <w:p>
            <w:pPr>
              <w:tabs>
                <w:tab w:val="left" w:pos="1580"/>
                <w:tab w:val="left" w:pos="3436"/>
                <w:tab w:val="left" w:pos="5512"/>
              </w:tabs>
              <w:spacing w:line="360" w:lineRule="exact"/>
              <w:ind w:left="21"/>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地址：浙江省台州市椒江区市府大道1139号</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Merge w:val="continue"/>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p>
        </w:tc>
        <w:tc>
          <w:tcPr>
            <w:tcW w:w="8874" w:type="dxa"/>
            <w:gridSpan w:val="2"/>
            <w:vAlign w:val="center"/>
          </w:tcPr>
          <w:p>
            <w:pPr>
              <w:tabs>
                <w:tab w:val="left" w:pos="1580"/>
                <w:tab w:val="left" w:pos="3436"/>
                <w:tab w:val="left" w:pos="5512"/>
              </w:tabs>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w:t>
            </w:r>
            <w:r>
              <w:rPr>
                <w:rFonts w:asciiTheme="minorEastAsia" w:hAnsiTheme="minorEastAsia" w:eastAsiaTheme="minorEastAsia"/>
                <w:color w:val="auto"/>
                <w:szCs w:val="21"/>
                <w:highlight w:val="none"/>
              </w:rPr>
              <w:t>代理机构：中冠工程管理咨询有限公司</w:t>
            </w:r>
          </w:p>
          <w:p>
            <w:pPr>
              <w:spacing w:line="400" w:lineRule="exact"/>
              <w:contextualSpacing/>
              <w:rPr>
                <w:rFonts w:cs="Arial"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r>
              <w:rPr>
                <w:rFonts w:hint="eastAsia" w:cs="Arial" w:asciiTheme="minorEastAsia" w:hAnsiTheme="minorEastAsia" w:eastAsiaTheme="minorEastAsia"/>
                <w:color w:val="auto"/>
                <w:szCs w:val="21"/>
                <w:highlight w:val="none"/>
              </w:rPr>
              <w:t>戴艳燕、陈金泉、王莎莎</w:t>
            </w:r>
          </w:p>
          <w:p>
            <w:pPr>
              <w:spacing w:line="400" w:lineRule="exact"/>
              <w:contextualSpacing/>
              <w:rPr>
                <w:rFonts w:cs="Arial"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w:t>
            </w:r>
            <w:r>
              <w:rPr>
                <w:rFonts w:cs="Arial" w:asciiTheme="minorEastAsia" w:hAnsiTheme="minorEastAsia" w:eastAsiaTheme="minorEastAsia"/>
                <w:color w:val="auto"/>
                <w:szCs w:val="21"/>
                <w:highlight w:val="none"/>
              </w:rPr>
              <w:t>0576-81810227、18968407875</w:t>
            </w:r>
            <w:r>
              <w:rPr>
                <w:rFonts w:hint="eastAsia" w:asciiTheme="minorEastAsia" w:hAnsiTheme="minorEastAsia" w:eastAsiaTheme="minorEastAsia"/>
                <w:color w:val="auto"/>
                <w:szCs w:val="21"/>
                <w:highlight w:val="none"/>
              </w:rPr>
              <w:t xml:space="preserve">    传真：</w:t>
            </w:r>
            <w:r>
              <w:rPr>
                <w:rFonts w:cs="Arial" w:asciiTheme="minorEastAsia" w:hAnsiTheme="minorEastAsia" w:eastAsiaTheme="minorEastAsia"/>
                <w:color w:val="auto"/>
                <w:szCs w:val="21"/>
                <w:highlight w:val="none"/>
              </w:rPr>
              <w:t>0576-81810806</w:t>
            </w:r>
          </w:p>
          <w:p>
            <w:pPr>
              <w:spacing w:line="400" w:lineRule="exact"/>
              <w:contextualSpacing/>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地址：浙江省台州市椒江区东海大道378号4楼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w:t>
            </w:r>
          </w:p>
        </w:tc>
        <w:tc>
          <w:tcPr>
            <w:tcW w:w="8874" w:type="dxa"/>
            <w:gridSpan w:val="2"/>
            <w:tcBorders>
              <w:top w:val="single" w:color="auto" w:sz="4" w:space="0"/>
              <w:bottom w:val="single" w:color="auto" w:sz="2" w:space="0"/>
            </w:tcBorders>
            <w:vAlign w:val="center"/>
          </w:tcPr>
          <w:p>
            <w:pPr>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3</w:t>
            </w:r>
          </w:p>
        </w:tc>
        <w:tc>
          <w:tcPr>
            <w:tcW w:w="8874" w:type="dxa"/>
            <w:gridSpan w:val="2"/>
            <w:tcBorders>
              <w:top w:val="single" w:color="auto" w:sz="4" w:space="0"/>
              <w:bottom w:val="single" w:color="auto" w:sz="2" w:space="0"/>
            </w:tcBorders>
            <w:vAlign w:val="center"/>
          </w:tcPr>
          <w:p>
            <w:pPr>
              <w:spacing w:line="360" w:lineRule="exact"/>
              <w:contextualSpacing/>
              <w:rPr>
                <w:rFonts w:cs="Arial" w:asciiTheme="minorEastAsia" w:hAnsiTheme="minorEastAsia" w:eastAsiaTheme="minorEastAsia"/>
                <w:bCs/>
                <w:color w:val="auto"/>
                <w:szCs w:val="21"/>
                <w:highlight w:val="none"/>
              </w:rPr>
            </w:pPr>
            <w:r>
              <w:rPr>
                <w:rFonts w:hint="eastAsia" w:cs="Arial" w:asciiTheme="minorEastAsia" w:hAnsiTheme="minorEastAsia" w:eastAsiaTheme="minorEastAsia"/>
                <w:bCs/>
                <w:color w:val="auto"/>
                <w:szCs w:val="21"/>
                <w:highlight w:val="none"/>
              </w:rPr>
              <w:t>投标人</w:t>
            </w:r>
            <w:r>
              <w:rPr>
                <w:rFonts w:cs="Arial" w:asciiTheme="minorEastAsia" w:hAnsiTheme="minorEastAsia" w:eastAsiaTheme="minorEastAsia"/>
                <w:bCs/>
                <w:color w:val="auto"/>
                <w:szCs w:val="21"/>
                <w:highlight w:val="none"/>
              </w:rPr>
              <w:t>的资格要求：</w:t>
            </w:r>
            <w:r>
              <w:rPr>
                <w:rFonts w:hint="eastAsia" w:asciiTheme="minorEastAsia" w:hAnsiTheme="minorEastAsia" w:eastAsiaTheme="minorEastAsia"/>
                <w:color w:val="auto"/>
                <w:szCs w:val="21"/>
                <w:highlight w:val="none"/>
              </w:rPr>
              <w:t>详见“第一部分 采购</w:t>
            </w:r>
            <w:r>
              <w:rPr>
                <w:rFonts w:asciiTheme="minorEastAsia" w:hAnsiTheme="minorEastAsia" w:eastAsiaTheme="minorEastAsia"/>
                <w:color w:val="auto"/>
                <w:szCs w:val="21"/>
                <w:highlight w:val="none"/>
              </w:rPr>
              <w:t>公告</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w:t>
            </w:r>
          </w:p>
        </w:tc>
        <w:tc>
          <w:tcPr>
            <w:tcW w:w="8874" w:type="dxa"/>
            <w:gridSpan w:val="2"/>
            <w:tcBorders>
              <w:top w:val="single" w:color="auto" w:sz="4" w:space="0"/>
              <w:bottom w:val="single" w:color="auto" w:sz="2" w:space="0"/>
            </w:tcBorders>
            <w:vAlign w:val="center"/>
          </w:tcPr>
          <w:p>
            <w:pPr>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资格审查：本项目采用资格后审。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▲5</w:t>
            </w:r>
          </w:p>
        </w:tc>
        <w:tc>
          <w:tcPr>
            <w:tcW w:w="8874" w:type="dxa"/>
            <w:gridSpan w:val="2"/>
            <w:vAlign w:val="center"/>
          </w:tcPr>
          <w:p>
            <w:pPr>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商务条款资料部分：见“第五部分 采购内容及要求”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▲6</w:t>
            </w:r>
          </w:p>
        </w:tc>
        <w:tc>
          <w:tcPr>
            <w:tcW w:w="8874" w:type="dxa"/>
            <w:gridSpan w:val="2"/>
            <w:vAlign w:val="center"/>
          </w:tcPr>
          <w:p>
            <w:pPr>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w:t>
            </w:r>
          </w:p>
          <w:p>
            <w:pPr>
              <w:spacing w:line="360" w:lineRule="exact"/>
              <w:contextualSpacing/>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1、最高限价：</w:t>
            </w:r>
            <w:r>
              <w:rPr>
                <w:rFonts w:asciiTheme="minorEastAsia" w:hAnsiTheme="minorEastAsia" w:eastAsiaTheme="minorEastAsia"/>
                <w:b/>
                <w:color w:val="auto"/>
                <w:szCs w:val="21"/>
                <w:highlight w:val="none"/>
              </w:rPr>
              <w:t>10</w:t>
            </w:r>
            <w:r>
              <w:rPr>
                <w:rFonts w:hint="eastAsia" w:asciiTheme="minorEastAsia" w:hAnsiTheme="minorEastAsia" w:eastAsiaTheme="minorEastAsia"/>
                <w:b/>
                <w:color w:val="auto"/>
                <w:szCs w:val="21"/>
                <w:highlight w:val="none"/>
                <w:lang w:val="en-US" w:eastAsia="zh-CN"/>
              </w:rPr>
              <w:t>0</w:t>
            </w:r>
            <w:r>
              <w:rPr>
                <w:rFonts w:asciiTheme="minorEastAsia" w:hAnsiTheme="minorEastAsia" w:eastAsiaTheme="minorEastAsia"/>
                <w:b/>
                <w:color w:val="auto"/>
                <w:szCs w:val="21"/>
                <w:highlight w:val="none"/>
              </w:rPr>
              <w:t>0000</w:t>
            </w:r>
            <w:r>
              <w:rPr>
                <w:rFonts w:hint="eastAsia" w:asciiTheme="minorEastAsia" w:hAnsiTheme="minorEastAsia" w:eastAsiaTheme="minorEastAsia"/>
                <w:b/>
                <w:color w:val="auto"/>
                <w:szCs w:val="21"/>
                <w:highlight w:val="none"/>
              </w:rPr>
              <w:t>元，报价超过最高限价的，其投标将作无效投标处理。</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投标报价是包括货款、标准附件、备品备件、专用工具、包装、运输、装卸、保险、税金、货到就位以及安装、调试、培训、保修、合同包含的所有风险责任等各项费用及不可预见费等所需的全部费用。采购文件未列明，而投标供应商认为必需的费用也需列入报价。</w:t>
            </w:r>
          </w:p>
          <w:p>
            <w:pPr>
              <w:pStyle w:val="3"/>
              <w:spacing w:line="444" w:lineRule="exact"/>
              <w:ind w:firstLine="0"/>
              <w:jc w:val="left"/>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 w:val="21"/>
                <w:szCs w:val="21"/>
                <w:highlight w:val="none"/>
              </w:rPr>
              <w:t>3、不论中标结果如何，投标人均应自行承担所有与投标有关的全部费用。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6"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▲7</w:t>
            </w:r>
          </w:p>
        </w:tc>
        <w:tc>
          <w:tcPr>
            <w:tcW w:w="8874" w:type="dxa"/>
            <w:gridSpan w:val="2"/>
            <w:vAlign w:val="center"/>
          </w:tcPr>
          <w:p>
            <w:pPr>
              <w:autoSpaceDE w:val="0"/>
              <w:autoSpaceDN w:val="0"/>
              <w:snapToGrid w:val="0"/>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bottom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8</w:t>
            </w:r>
          </w:p>
        </w:tc>
        <w:tc>
          <w:tcPr>
            <w:tcW w:w="8874" w:type="dxa"/>
            <w:gridSpan w:val="2"/>
            <w:vAlign w:val="center"/>
          </w:tcPr>
          <w:p>
            <w:pPr>
              <w:spacing w:line="444"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投标文件的制作和投标：</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请投标供应商在投标前仔细阅读“政府采购项目电子交易操作指南”。</w:t>
            </w:r>
          </w:p>
          <w:p>
            <w:pPr>
              <w:pStyle w:val="3"/>
              <w:spacing w:line="444" w:lineRule="exact"/>
              <w:ind w:left="105" w:leftChars="50"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投标文件的制作：投标供应商按照本项目</w:t>
            </w:r>
            <w:r>
              <w:rPr>
                <w:rFonts w:hint="eastAsia" w:cs="Times New Roman" w:asciiTheme="minorEastAsia" w:hAnsiTheme="minorEastAsia" w:eastAsiaTheme="minorEastAsia"/>
                <w:color w:val="auto"/>
                <w:sz w:val="21"/>
                <w:szCs w:val="21"/>
                <w:highlight w:val="none"/>
              </w:rPr>
              <w:t>采购</w:t>
            </w:r>
            <w:r>
              <w:rPr>
                <w:rFonts w:cs="Times New Roman" w:asciiTheme="minorEastAsia" w:hAnsiTheme="minorEastAsia" w:eastAsiaTheme="minorEastAsia"/>
                <w:color w:val="auto"/>
                <w:sz w:val="21"/>
                <w:szCs w:val="21"/>
                <w:highlight w:val="none"/>
              </w:rPr>
              <w:t>文件和政采云平台的要求,通过“政采云电子交易客户端”编制、加密并递交投标文件（下载网址：https://zfcg.czt.zj.gov.cn/download/index.html）。</w:t>
            </w:r>
          </w:p>
          <w:p>
            <w:pPr>
              <w:pStyle w:val="3"/>
              <w:spacing w:line="444" w:lineRule="exact"/>
              <w:ind w:left="105" w:leftChars="50"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投标：投标供应商应当在投标截止时间前完成投标文件的传输递交，逾期上传的投标文件恕不接受。补充或者修改投标文件的，应当先行撤回原文件，补充、修改后重新传输递交。投标截止时间前未完成上传的，视为撤回投标文件。</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投标文件解密：投标供应商应在开标后30分钟内完成解密。</w:t>
            </w:r>
          </w:p>
          <w:p>
            <w:pPr>
              <w:pStyle w:val="3"/>
              <w:spacing w:line="444" w:lineRule="exact"/>
              <w:ind w:firstLine="0"/>
              <w:jc w:val="left"/>
              <w:rPr>
                <w:rFonts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sz w:val="21"/>
                <w:szCs w:val="21"/>
                <w:highlight w:val="none"/>
              </w:rPr>
              <w:t>4、中标供应商中标后需提供纸质投标文件给招标代理机构作为备案存档，纸质投标文件系电子投标文件纸质版，两者内容应一致；数量为：资格证明文件2份；资格及商务技术文件2份；报价文件2份。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bottom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9</w:t>
            </w:r>
          </w:p>
        </w:tc>
        <w:tc>
          <w:tcPr>
            <w:tcW w:w="8874" w:type="dxa"/>
            <w:gridSpan w:val="2"/>
            <w:vAlign w:val="center"/>
          </w:tcPr>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投标文件组成与份数：</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1、上传到政府采购云平台的电子加密投标文件（含资格证明文件、技术商务文件、报价文件）1份。</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2、电子备份投标文件（含资格证明文件、技术商务文件、报价文件）1份。备份投标文件是通过政采云电子交易客户端制作投标文件产生的备份文件，请投标供应商自行妥善保管。</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（1）使用前提：投标供应商自行在线解密操作失败无法按时寻求技术人员帮助解密，或者投标供应商寻求技术人员帮助仍无法按时完成解密。</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（2）递交截止时间：同投标截止时间。</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（3）投递邮箱：</w:t>
            </w:r>
            <w:r>
              <w:rPr>
                <w:color w:val="auto"/>
                <w:highlight w:val="none"/>
              </w:rPr>
              <w:fldChar w:fldCharType="begin"/>
            </w:r>
            <w:r>
              <w:rPr>
                <w:color w:val="auto"/>
                <w:highlight w:val="none"/>
              </w:rPr>
              <w:instrText xml:space="preserve"> HYPERLINK "mailto:zgtzfgs@163.com" </w:instrText>
            </w:r>
            <w:r>
              <w:rPr>
                <w:color w:val="auto"/>
                <w:highlight w:val="none"/>
              </w:rPr>
              <w:fldChar w:fldCharType="separate"/>
            </w:r>
            <w:r>
              <w:rPr>
                <w:rFonts w:hint="eastAsia" w:cs="Times New Roman" w:asciiTheme="minorEastAsia" w:hAnsiTheme="minorEastAsia" w:eastAsiaTheme="minorEastAsia"/>
                <w:b/>
                <w:color w:val="auto"/>
                <w:sz w:val="21"/>
                <w:szCs w:val="21"/>
                <w:highlight w:val="none"/>
              </w:rPr>
              <w:t>zgtzfgs@163.com</w:t>
            </w:r>
            <w:r>
              <w:rPr>
                <w:rFonts w:hint="eastAsia" w:cs="Times New Roman" w:asciiTheme="minorEastAsia" w:hAnsiTheme="minorEastAsia" w:eastAsiaTheme="minorEastAsia"/>
                <w:b/>
                <w:color w:val="auto"/>
                <w:sz w:val="21"/>
                <w:szCs w:val="21"/>
                <w:highlight w:val="none"/>
              </w:rPr>
              <w:fldChar w:fldCharType="end"/>
            </w:r>
            <w:r>
              <w:rPr>
                <w:rFonts w:hint="eastAsia" w:cs="Times New Roman" w:asciiTheme="minorEastAsia" w:hAnsiTheme="minorEastAsia" w:eastAsiaTheme="minorEastAsia"/>
                <w:b/>
                <w:color w:val="auto"/>
                <w:sz w:val="21"/>
                <w:szCs w:val="21"/>
                <w:highlight w:val="none"/>
              </w:rPr>
              <w:t>。</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（4）备份投标文件由供应商自行确定是否提交，因备份投标文件未加密而造成失密等情况，采购代理机构概不负责。未在系统上提交投标文件而仅提交备份投标文件的，其投标无效。</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823" w:type="dxa"/>
            <w:tcBorders>
              <w:top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10</w:t>
            </w:r>
          </w:p>
        </w:tc>
        <w:tc>
          <w:tcPr>
            <w:tcW w:w="8874" w:type="dxa"/>
            <w:gridSpan w:val="2"/>
            <w:tcBorders>
              <w:top w:val="single" w:color="auto" w:sz="2" w:space="0"/>
            </w:tcBorders>
            <w:vAlign w:val="center"/>
          </w:tcPr>
          <w:p>
            <w:pPr>
              <w:autoSpaceDE w:val="0"/>
              <w:autoSpaceDN w:val="0"/>
              <w:snapToGrid w:val="0"/>
              <w:spacing w:line="360" w:lineRule="exact"/>
              <w:contextualSpacing/>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采购公告与中标公告发布网站：</w:t>
            </w:r>
            <w:r>
              <w:rPr>
                <w:rFonts w:hint="eastAsia" w:cs="Arial" w:asciiTheme="minorEastAsia" w:hAnsiTheme="minorEastAsia" w:eastAsiaTheme="minorEastAsia"/>
                <w:color w:val="auto"/>
                <w:szCs w:val="21"/>
                <w:highlight w:val="none"/>
              </w:rPr>
              <w:t>浙江政府采购网（</w:t>
            </w:r>
            <w:r>
              <w:rPr>
                <w:rFonts w:hint="eastAsia" w:cs="宋体" w:asciiTheme="minorEastAsia" w:hAnsiTheme="minorEastAsia" w:eastAsiaTheme="minorEastAsia"/>
                <w:color w:val="auto"/>
                <w:szCs w:val="21"/>
                <w:highlight w:val="none"/>
              </w:rPr>
              <w:t>www.zcygov.cn</w:t>
            </w:r>
            <w:r>
              <w:rPr>
                <w:rFonts w:hint="eastAsia" w:cs="Arial"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90" w:hRule="atLeast"/>
          <w:jc w:val="center"/>
        </w:trPr>
        <w:tc>
          <w:tcPr>
            <w:tcW w:w="823" w:type="dxa"/>
            <w:tcBorders>
              <w:top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11</w:t>
            </w:r>
          </w:p>
        </w:tc>
        <w:tc>
          <w:tcPr>
            <w:tcW w:w="8874" w:type="dxa"/>
            <w:gridSpan w:val="2"/>
            <w:tcBorders>
              <w:top w:val="single" w:color="auto" w:sz="2" w:space="0"/>
            </w:tcBorders>
            <w:vAlign w:val="center"/>
          </w:tcPr>
          <w:p>
            <w:pPr>
              <w:autoSpaceDE w:val="0"/>
              <w:autoSpaceDN w:val="0"/>
              <w:snapToGrid w:val="0"/>
              <w:spacing w:line="360" w:lineRule="exact"/>
              <w:contextualSpacing/>
              <w:jc w:val="left"/>
              <w:rPr>
                <w:rFonts w:asciiTheme="minorEastAsia" w:hAnsiTheme="minorEastAsia" w:eastAsiaTheme="minorEastAsia"/>
                <w:color w:val="auto"/>
                <w:szCs w:val="21"/>
                <w:highlight w:val="none"/>
              </w:rPr>
            </w:pPr>
            <w:r>
              <w:rPr>
                <w:rFonts w:hint="eastAsia" w:ascii="宋体" w:hAnsi="宋体" w:cs="宋体"/>
                <w:color w:val="auto"/>
                <w:szCs w:val="21"/>
                <w:highlight w:val="none"/>
              </w:rPr>
              <w:t>信用信息查询渠道</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信用中国网站（www.creditchina.gov.cn）、中国政府采购网（www.ccgp.gov.cn）</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cs="宋体"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12</w:t>
            </w:r>
          </w:p>
        </w:tc>
        <w:tc>
          <w:tcPr>
            <w:tcW w:w="8874" w:type="dxa"/>
            <w:gridSpan w:val="2"/>
            <w:vAlign w:val="center"/>
          </w:tcPr>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1、踏勘现场时间及地点：不组织，各投标单位根据自己需要，自行前往勘察现场和周围环境，所产生的费用由投标单位自理。</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2、节能产品、环保产品：无要求；</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3、样品：</w:t>
            </w:r>
            <w:r>
              <w:rPr>
                <w:rFonts w:hint="eastAsia" w:cs="Times New Roman" w:asciiTheme="minorEastAsia" w:hAnsiTheme="minorEastAsia" w:eastAsiaTheme="minorEastAsia"/>
                <w:color w:val="auto"/>
                <w:sz w:val="21"/>
                <w:szCs w:val="21"/>
                <w:highlight w:val="none"/>
              </w:rPr>
              <w:t>无</w:t>
            </w:r>
            <w:r>
              <w:rPr>
                <w:rFonts w:cs="Times New Roman" w:asciiTheme="minorEastAsia" w:hAnsiTheme="minorEastAsia" w:eastAsiaTheme="minorEastAsia"/>
                <w:color w:val="auto"/>
                <w:sz w:val="21"/>
                <w:szCs w:val="21"/>
                <w:highlight w:val="none"/>
              </w:rPr>
              <w:t>；</w:t>
            </w:r>
          </w:p>
          <w:p>
            <w:pPr>
              <w:pStyle w:val="3"/>
              <w:spacing w:line="444" w:lineRule="exact"/>
              <w:ind w:firstLine="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4、现场演示：</w:t>
            </w:r>
            <w:r>
              <w:rPr>
                <w:rFonts w:hint="eastAsia" w:cs="Times New Roman" w:asciiTheme="minorEastAsia" w:hAnsiTheme="minorEastAsia" w:eastAsiaTheme="minorEastAsia"/>
                <w:color w:val="auto"/>
                <w:sz w:val="21"/>
                <w:szCs w:val="21"/>
                <w:highlight w:val="none"/>
              </w:rPr>
              <w:t>无</w:t>
            </w:r>
            <w:r>
              <w:rPr>
                <w:rFonts w:cs="Times New Roman" w:asciiTheme="minorEastAsia" w:hAnsiTheme="minorEastAsia" w:eastAsia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13</w:t>
            </w:r>
          </w:p>
        </w:tc>
        <w:tc>
          <w:tcPr>
            <w:tcW w:w="1314" w:type="dxa"/>
            <w:vAlign w:val="center"/>
          </w:tcPr>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进口产品</w:t>
            </w:r>
          </w:p>
        </w:tc>
        <w:tc>
          <w:tcPr>
            <w:tcW w:w="7560" w:type="dxa"/>
            <w:vAlign w:val="center"/>
          </w:tcPr>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sym w:font="Wingdings" w:char="F0FE"/>
            </w:r>
            <w:r>
              <w:rPr>
                <w:rFonts w:hint="eastAsia" w:asciiTheme="minorEastAsia" w:hAnsiTheme="minorEastAsia" w:eastAsiaTheme="minorEastAsia"/>
                <w:color w:val="auto"/>
                <w:szCs w:val="21"/>
                <w:highlight w:val="none"/>
              </w:rPr>
              <w:t>本项目不允许采购进口产品。</w:t>
            </w:r>
          </w:p>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215"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14</w:t>
            </w:r>
          </w:p>
        </w:tc>
        <w:tc>
          <w:tcPr>
            <w:tcW w:w="1314" w:type="dxa"/>
            <w:vAlign w:val="center"/>
          </w:tcPr>
          <w:p>
            <w:pPr>
              <w:spacing w:line="300" w:lineRule="auto"/>
              <w:ind w:left="15" w:hanging="14" w:hangingChars="7"/>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项目属性与核心产品</w:t>
            </w:r>
          </w:p>
        </w:tc>
        <w:tc>
          <w:tcPr>
            <w:tcW w:w="7560" w:type="dxa"/>
            <w:vAlign w:val="center"/>
          </w:tcPr>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sym w:font="Wingdings" w:char="F0FE"/>
            </w:r>
            <w:r>
              <w:rPr>
                <w:rFonts w:hint="eastAsia" w:asciiTheme="minorEastAsia" w:hAnsiTheme="minorEastAsia" w:eastAsiaTheme="minorEastAsia"/>
                <w:color w:val="auto"/>
                <w:szCs w:val="21"/>
                <w:highlight w:val="none"/>
              </w:rPr>
              <w:t>A货物类，核心产品为：</w:t>
            </w:r>
            <w:r>
              <w:rPr>
                <w:rFonts w:hint="eastAsia" w:hAnsi="宋体"/>
                <w:color w:val="auto"/>
                <w:szCs w:val="21"/>
                <w:highlight w:val="none"/>
              </w:rPr>
              <w:t>全身三维步态与运动分析系</w:t>
            </w:r>
            <w:r>
              <w:rPr>
                <w:rFonts w:hint="eastAsia" w:hAnsi="宋体"/>
                <w:color w:val="auto"/>
                <w:szCs w:val="21"/>
                <w:highlight w:val="none"/>
                <w:lang w:eastAsia="zh-CN"/>
              </w:rPr>
              <w:t>、</w:t>
            </w:r>
            <w:r>
              <w:rPr>
                <w:rFonts w:hint="eastAsia" w:hAnsi="宋体"/>
                <w:color w:val="auto"/>
                <w:szCs w:val="21"/>
                <w:highlight w:val="none"/>
              </w:rPr>
              <w:t>无线运动传感器</w:t>
            </w:r>
            <w:r>
              <w:rPr>
                <w:rFonts w:hint="eastAsia" w:hAnsi="宋体"/>
                <w:color w:val="auto"/>
                <w:szCs w:val="21"/>
                <w:highlight w:val="none"/>
                <w:lang w:eastAsia="zh-CN"/>
              </w:rPr>
              <w:t>、</w:t>
            </w:r>
            <w:r>
              <w:rPr>
                <w:rFonts w:hint="eastAsia" w:hAnsi="宋体"/>
                <w:color w:val="auto"/>
                <w:szCs w:val="21"/>
                <w:highlight w:val="none"/>
              </w:rPr>
              <w:t>表面肌电反馈仪</w:t>
            </w:r>
            <w:r>
              <w:rPr>
                <w:rFonts w:hint="eastAsia" w:asciiTheme="minorEastAsia" w:hAnsiTheme="minorEastAsia" w:eastAsiaTheme="minorEastAsia"/>
                <w:color w:val="auto"/>
                <w:szCs w:val="21"/>
                <w:highlight w:val="none"/>
              </w:rPr>
              <w:t>。</w:t>
            </w:r>
          </w:p>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sym w:font="Wingdings" w:char="00A8"/>
            </w:r>
            <w:r>
              <w:rPr>
                <w:rFonts w:hint="eastAsia" w:asciiTheme="minorEastAsia" w:hAnsiTheme="minorEastAsia" w:eastAsiaTheme="minorEastAsia"/>
                <w:color w:val="auto"/>
                <w:szCs w:val="21"/>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8"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15</w:t>
            </w:r>
          </w:p>
        </w:tc>
        <w:tc>
          <w:tcPr>
            <w:tcW w:w="8874" w:type="dxa"/>
            <w:gridSpan w:val="2"/>
            <w:vAlign w:val="center"/>
          </w:tcPr>
          <w:p>
            <w:pPr>
              <w:spacing w:line="30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采购标的对应的中小企业划分标准所属行业：工业。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05"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16</w:t>
            </w:r>
          </w:p>
        </w:tc>
        <w:tc>
          <w:tcPr>
            <w:tcW w:w="8874" w:type="dxa"/>
            <w:gridSpan w:val="2"/>
            <w:vAlign w:val="center"/>
          </w:tcPr>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履约保证金：</w:t>
            </w:r>
          </w:p>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供应商在签订合同前须缴纳本项目履约保证金为合同金额的1%。</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供应商以电汇、转账等形式提交履约保证金，注明用途为“***项目履约保证金”。凭银行支付凭证回执到台州学院计划财务处（浙江省台州市椒江区市府大道1139号台州学院椒江校区行政楼一楼</w:t>
            </w:r>
            <w:r>
              <w:rPr>
                <w:rFonts w:asciiTheme="minorEastAsia" w:hAnsiTheme="minorEastAsia" w:eastAsiaTheme="minorEastAsia"/>
                <w:color w:val="auto"/>
                <w:szCs w:val="21"/>
                <w:highlight w:val="none"/>
              </w:rPr>
              <w:t>财务办事大厅</w:t>
            </w:r>
            <w:r>
              <w:rPr>
                <w:rFonts w:hint="eastAsia" w:asciiTheme="minorEastAsia" w:hAnsiTheme="minorEastAsia" w:eastAsiaTheme="minorEastAsia"/>
                <w:color w:val="auto"/>
                <w:szCs w:val="21"/>
                <w:highlight w:val="none"/>
              </w:rPr>
              <w:t>，联系</w:t>
            </w:r>
            <w:r>
              <w:rPr>
                <w:rFonts w:asciiTheme="minorEastAsia" w:hAnsiTheme="minorEastAsia" w:eastAsiaTheme="minorEastAsia"/>
                <w:color w:val="auto"/>
                <w:szCs w:val="21"/>
                <w:highlight w:val="none"/>
              </w:rPr>
              <w:t>人和</w:t>
            </w:r>
            <w:r>
              <w:rPr>
                <w:rFonts w:hint="eastAsia" w:asciiTheme="minorEastAsia" w:hAnsiTheme="minorEastAsia" w:eastAsiaTheme="minorEastAsia"/>
                <w:color w:val="auto"/>
                <w:szCs w:val="21"/>
                <w:highlight w:val="none"/>
              </w:rPr>
              <w:t>电话：徐老师</w:t>
            </w:r>
            <w:r>
              <w:rPr>
                <w:rFonts w:asciiTheme="minorEastAsia" w:hAnsiTheme="minorEastAsia" w:eastAsiaTheme="minorEastAsia"/>
                <w:color w:val="auto"/>
                <w:szCs w:val="21"/>
                <w:highlight w:val="none"/>
              </w:rPr>
              <w:t>0576-</w:t>
            </w:r>
            <w:r>
              <w:rPr>
                <w:rFonts w:hint="eastAsia" w:asciiTheme="minorEastAsia" w:hAnsiTheme="minorEastAsia" w:eastAsiaTheme="minorEastAsia"/>
                <w:color w:val="auto"/>
                <w:szCs w:val="21"/>
                <w:highlight w:val="none"/>
              </w:rPr>
              <w:t>8866</w:t>
            </w:r>
            <w:r>
              <w:rPr>
                <w:rFonts w:asciiTheme="minorEastAsia" w:hAnsiTheme="minorEastAsia" w:eastAsiaTheme="minorEastAsia"/>
                <w:color w:val="auto"/>
                <w:szCs w:val="21"/>
                <w:highlight w:val="none"/>
              </w:rPr>
              <w:t>0384</w:t>
            </w:r>
            <w:r>
              <w:rPr>
                <w:rFonts w:hint="eastAsia" w:asciiTheme="minorEastAsia" w:hAnsiTheme="minorEastAsia" w:eastAsiaTheme="minorEastAsia"/>
                <w:color w:val="auto"/>
                <w:szCs w:val="21"/>
                <w:highlight w:val="none"/>
              </w:rPr>
              <w:t>）开具资金往来款收据。汇款信息如下：</w:t>
            </w:r>
          </w:p>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开户名称：台州学院  </w:t>
            </w:r>
          </w:p>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帐号：33050 16635 00000 00852  </w:t>
            </w:r>
          </w:p>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开户行：中国建设银行台州市分行</w:t>
            </w:r>
          </w:p>
          <w:p>
            <w:pPr>
              <w:pStyle w:val="28"/>
              <w:spacing w:line="360" w:lineRule="auto"/>
              <w:ind w:left="0" w:left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咨</w:t>
            </w:r>
            <w:r>
              <w:rPr>
                <w:rFonts w:hint="eastAsia" w:asciiTheme="minorEastAsia" w:hAnsiTheme="minorEastAsia" w:eastAsiaTheme="minorEastAsia"/>
                <w:color w:val="auto"/>
                <w:szCs w:val="21"/>
                <w:highlight w:val="none"/>
              </w:rPr>
              <w:t>询电话：0576-88660897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17</w:t>
            </w:r>
          </w:p>
        </w:tc>
        <w:tc>
          <w:tcPr>
            <w:tcW w:w="8874" w:type="dxa"/>
            <w:gridSpan w:val="2"/>
            <w:vAlign w:val="center"/>
          </w:tcPr>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代理服务费：</w:t>
            </w:r>
          </w:p>
          <w:p>
            <w:pPr>
              <w:pStyle w:val="3"/>
              <w:numPr>
                <w:ilvl w:val="0"/>
                <w:numId w:val="6"/>
              </w:numPr>
              <w:spacing w:line="444" w:lineRule="exact"/>
              <w:ind w:firstLine="0"/>
              <w:jc w:val="left"/>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本项目代理服务费用按照中标通知书上的中标总价，根据国家发改委发改办价格[2003]857号通知和国家计委计价格[2002]1980号文件中招标费率规定的货物类标准的39.8%计取，由中标人支付。</w:t>
            </w:r>
          </w:p>
          <w:tbl>
            <w:tblPr>
              <w:tblStyle w:val="47"/>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服务类型、费率、中标金额（万元）</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货物招标</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100以下</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1.50%</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1.50%</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100-500</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1.10%</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0.80%</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500-1000</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0.80%</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0.45%</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1000-5000</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0.50%</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5000-10000</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0.10%</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10000-100000</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100000以上</w:t>
                  </w:r>
                </w:p>
              </w:tc>
              <w:tc>
                <w:tcPr>
                  <w:tcW w:w="177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c>
                <w:tcPr>
                  <w:tcW w:w="16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c>
                <w:tcPr>
                  <w:tcW w:w="21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r>
          </w:tbl>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2、中标人应在接到代理机构通知之日起5个工作日之内向采购代理机构支付代理服务费。</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3、收费账号：</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开户银行：中国农业银行股份有限公司台州经济开发区支行</w:t>
            </w:r>
          </w:p>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户名：中冠工程管理咨询有限公司台州分公司</w:t>
            </w:r>
          </w:p>
          <w:p>
            <w:pPr>
              <w:pStyle w:val="3"/>
              <w:spacing w:line="444" w:lineRule="exact"/>
              <w:ind w:firstLine="0"/>
              <w:jc w:val="left"/>
              <w:rPr>
                <w:color w:val="auto"/>
                <w:highlight w:val="none"/>
              </w:rPr>
            </w:pPr>
            <w:r>
              <w:rPr>
                <w:rFonts w:hint="eastAsia" w:cs="Times New Roman" w:asciiTheme="minorEastAsia" w:hAnsiTheme="minorEastAsia" w:eastAsiaTheme="minorEastAsia"/>
                <w:color w:val="auto"/>
                <w:sz w:val="21"/>
                <w:szCs w:val="21"/>
                <w:highlight w:val="none"/>
              </w:rPr>
              <w:t>账号：19900101040031566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18</w:t>
            </w:r>
          </w:p>
        </w:tc>
        <w:tc>
          <w:tcPr>
            <w:tcW w:w="8874" w:type="dxa"/>
            <w:gridSpan w:val="2"/>
            <w:vAlign w:val="center"/>
          </w:tcPr>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带“▲”的条款是实质性条款。</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19</w:t>
            </w:r>
          </w:p>
        </w:tc>
        <w:tc>
          <w:tcPr>
            <w:tcW w:w="8874" w:type="dxa"/>
            <w:gridSpan w:val="2"/>
            <w:vAlign w:val="center"/>
          </w:tcPr>
          <w:p>
            <w:pPr>
              <w:pStyle w:val="3"/>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本采购文件解释权属于采购人和采购代理机构。</w:t>
            </w:r>
          </w:p>
        </w:tc>
      </w:tr>
    </w:tbl>
    <w:p>
      <w:pPr>
        <w:shd w:val="clear" w:color="auto" w:fill="FFFFFF"/>
        <w:tabs>
          <w:tab w:val="left" w:pos="706"/>
        </w:tabs>
        <w:snapToGrid w:val="0"/>
        <w:spacing w:line="360" w:lineRule="auto"/>
        <w:ind w:left="561" w:firstLine="454"/>
        <w:jc w:val="center"/>
        <w:outlineLvl w:val="1"/>
        <w:rPr>
          <w:rFonts w:cs="宋体" w:asciiTheme="minorEastAsia" w:hAnsiTheme="minorEastAsia" w:eastAsiaTheme="minorEastAsia"/>
          <w:b/>
          <w:bCs/>
          <w:color w:val="auto"/>
          <w:sz w:val="24"/>
          <w:highlight w:val="none"/>
        </w:rPr>
      </w:pPr>
    </w:p>
    <w:bookmarkEnd w:id="21"/>
    <w:bookmarkEnd w:id="22"/>
    <w:bookmarkEnd w:id="23"/>
    <w:bookmarkEnd w:id="24"/>
    <w:bookmarkEnd w:id="25"/>
    <w:bookmarkEnd w:id="26"/>
    <w:p>
      <w:pPr>
        <w:pStyle w:val="26"/>
        <w:pageBreakBefore/>
        <w:snapToGrid w:val="0"/>
        <w:spacing w:before="120" w:after="120" w:line="360" w:lineRule="auto"/>
        <w:jc w:val="center"/>
        <w:outlineLvl w:val="0"/>
        <w:rPr>
          <w:rFonts w:asciiTheme="minorEastAsia" w:hAnsiTheme="minorEastAsia" w:eastAsiaTheme="minorEastAsia"/>
          <w:bCs/>
          <w:color w:val="auto"/>
          <w:sz w:val="30"/>
          <w:szCs w:val="30"/>
          <w:highlight w:val="none"/>
        </w:rPr>
      </w:pPr>
      <w:bookmarkStart w:id="27" w:name="_Toc28191"/>
      <w:bookmarkStart w:id="28" w:name="_Toc19894"/>
      <w:bookmarkStart w:id="29" w:name="_Toc18133"/>
      <w:bookmarkStart w:id="30" w:name="_Toc10621"/>
      <w:bookmarkStart w:id="31" w:name="_Toc1293"/>
      <w:bookmarkStart w:id="32" w:name="_Toc5157"/>
      <w:r>
        <w:rPr>
          <w:rFonts w:hint="eastAsia" w:asciiTheme="minorEastAsia" w:hAnsiTheme="minorEastAsia" w:eastAsiaTheme="minorEastAsia"/>
          <w:b/>
          <w:bCs/>
          <w:color w:val="auto"/>
          <w:sz w:val="32"/>
          <w:szCs w:val="32"/>
          <w:highlight w:val="none"/>
        </w:rPr>
        <w:t>第三部分  投标须知</w:t>
      </w:r>
      <w:bookmarkEnd w:id="27"/>
      <w:bookmarkEnd w:id="28"/>
      <w:bookmarkEnd w:id="29"/>
      <w:bookmarkEnd w:id="30"/>
      <w:bookmarkEnd w:id="31"/>
      <w:bookmarkEnd w:id="32"/>
    </w:p>
    <w:p>
      <w:pPr>
        <w:pStyle w:val="94"/>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一 、总  则</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1、适用范围</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适用于本次项目的招标采购、投标、评标、定标、验收、合同履约、付款等行为（法律、法规另有规定的，从其规定）。</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2、定义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2.1、“采购代理机构”指组织本次招标采购的中冠工程管理咨询有限公司。</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2.2、采购人：是指委托集中采购机构/采购代理机构采购本次项目的国家机关、事业单位和团体组织。</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2.3、投标人：是指向采购代理机构提交投标文件的单位或个人，应该是符合《投标资料表》的报名条件，符合、承认并承诺履行本采购文件各项要求的具有独立法人资格的中国境内企业或组织。</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2.4、货物：是指各种形态和种类的物品，包括原材料、燃料、设备、产品等。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2.5、服务：是指除货物和工程以外的政府采购对象，包括各类专业服务、信息网络开发服务、金融保险服务、运输服务，以及维修与维护服务等。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2.6、“书面形式”包括信函、传真等。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2.7、“▲”系指实质性要求条款。</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3、投标费用</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不论投标结果如何，投标人均应自行承担所有与投标有关的全部费用（有相关规定除外）。</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4、特别说明</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4.1、</w:t>
      </w:r>
      <w:r>
        <w:rPr>
          <w:rFonts w:asciiTheme="minorEastAsia" w:hAnsiTheme="minorEastAsia"/>
          <w:color w:val="auto"/>
          <w:sz w:val="21"/>
          <w:szCs w:val="21"/>
          <w:highlight w:val="none"/>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color w:val="auto"/>
          <w:sz w:val="21"/>
          <w:szCs w:val="21"/>
          <w:highlight w:val="none"/>
        </w:rPr>
        <w:t>。</w:t>
      </w:r>
    </w:p>
    <w:p>
      <w:pPr>
        <w:pStyle w:val="94"/>
        <w:spacing w:line="460" w:lineRule="exact"/>
        <w:ind w:left="0" w:leftChars="0" w:firstLine="420"/>
        <w:rPr>
          <w:rFonts w:asciiTheme="minorEastAsia" w:hAnsiTheme="minorEastAsia"/>
          <w:b/>
          <w:color w:val="auto"/>
          <w:sz w:val="21"/>
          <w:szCs w:val="21"/>
          <w:highlight w:val="none"/>
        </w:rPr>
      </w:pPr>
      <w:r>
        <w:rPr>
          <w:rFonts w:hint="eastAsia" w:asciiTheme="minorEastAsia" w:hAnsiTheme="minorEastAsia"/>
          <w:color w:val="auto"/>
          <w:sz w:val="21"/>
          <w:szCs w:val="21"/>
          <w:highlight w:val="none"/>
        </w:rPr>
        <w:t>4.2、投标人被列入“黑名单”的，采购组织单位将根据《浙江省政府采购供应商注册及诚信管理暂行办法》第四十六条之规定，在处罚有效期内，资格审查时不予通过。</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4.3、投标人不得相互串通投标报价，不得妨碍其他投标人的公平竞争，不得损害采购人或其他投标人的合法权益，投标人不得以向采购人、评标委员会成员行贿或者采取其他不正当手段谋取中标。</w:t>
      </w:r>
    </w:p>
    <w:p>
      <w:pPr>
        <w:pStyle w:val="94"/>
        <w:spacing w:line="460" w:lineRule="exact"/>
        <w:ind w:left="0" w:leftChars="0" w:firstLine="420"/>
        <w:rPr>
          <w:rFonts w:asciiTheme="minorEastAsia" w:hAnsiTheme="minorEastAsia"/>
          <w:b/>
          <w:color w:val="auto"/>
          <w:sz w:val="21"/>
          <w:szCs w:val="21"/>
          <w:highlight w:val="none"/>
        </w:rPr>
      </w:pPr>
      <w:r>
        <w:rPr>
          <w:rFonts w:hint="eastAsia" w:asciiTheme="minorEastAsia" w:hAnsiTheme="minorEastAsia"/>
          <w:color w:val="auto"/>
          <w:sz w:val="21"/>
          <w:szCs w:val="21"/>
          <w:highlight w:val="none"/>
        </w:rPr>
        <w:t>4.4、为采购项目提供整体设计、规范编制或者项目管理、监理、检测等服务的供应商，不得再参加该采购项目的其他采购活动。</w:t>
      </w:r>
    </w:p>
    <w:p>
      <w:pPr>
        <w:pStyle w:val="94"/>
        <w:spacing w:line="460" w:lineRule="exact"/>
        <w:ind w:left="0" w:leftChars="0" w:firstLine="420"/>
        <w:rPr>
          <w:rFonts w:asciiTheme="minorEastAsia" w:hAnsiTheme="minorEastAsia"/>
          <w:b/>
          <w:bCs/>
          <w:color w:val="auto"/>
          <w:sz w:val="21"/>
          <w:szCs w:val="21"/>
          <w:highlight w:val="none"/>
        </w:rPr>
      </w:pPr>
      <w:r>
        <w:rPr>
          <w:rFonts w:hint="eastAsia" w:asciiTheme="minorEastAsia" w:hAnsiTheme="minorEastAsia"/>
          <w:color w:val="auto"/>
          <w:sz w:val="21"/>
          <w:szCs w:val="21"/>
          <w:highlight w:val="none"/>
        </w:rPr>
        <w:t>4.5、投标文件格式中的表格式样可以根据项目差别做适当调整,但应当保持表格样式基本形态不变。</w:t>
      </w:r>
    </w:p>
    <w:p>
      <w:pPr>
        <w:pStyle w:val="94"/>
        <w:spacing w:line="460" w:lineRule="exact"/>
        <w:ind w:left="0" w:leftChars="0" w:firstLine="420"/>
        <w:rPr>
          <w:rFonts w:asciiTheme="minorEastAsia" w:hAnsiTheme="minorEastAsia"/>
          <w:b/>
          <w:bCs/>
          <w:color w:val="auto"/>
          <w:sz w:val="21"/>
          <w:szCs w:val="21"/>
          <w:highlight w:val="none"/>
        </w:rPr>
      </w:pPr>
      <w:r>
        <w:rPr>
          <w:rFonts w:hint="eastAsia" w:asciiTheme="minorEastAsia" w:hAnsiTheme="minorEastAsia"/>
          <w:color w:val="auto"/>
          <w:sz w:val="21"/>
          <w:szCs w:val="21"/>
          <w:highlight w:val="none"/>
        </w:rPr>
        <w:t>4.6、单位负责人为同一人或者存在直接控股、管理关系的不同供应商，不得参加同一合同项下的政府采购活动。</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4.7、本项目不允许分包。</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4.8</w:t>
      </w:r>
      <w:r>
        <w:rPr>
          <w:rFonts w:asciiTheme="minorEastAsia" w:hAnsiTheme="minorEastAsia"/>
          <w:color w:val="auto"/>
          <w:sz w:val="21"/>
          <w:szCs w:val="21"/>
          <w:highlight w:val="none"/>
        </w:rPr>
        <w:t>.本</w:t>
      </w:r>
      <w:r>
        <w:rPr>
          <w:rFonts w:hint="eastAsia" w:asciiTheme="minorEastAsia" w:hAnsiTheme="minorEastAsia"/>
          <w:color w:val="auto"/>
          <w:sz w:val="21"/>
          <w:szCs w:val="21"/>
          <w:highlight w:val="none"/>
        </w:rPr>
        <w:t>采购</w:t>
      </w:r>
      <w:r>
        <w:rPr>
          <w:rFonts w:asciiTheme="minorEastAsia" w:hAnsiTheme="minorEastAsia"/>
          <w:color w:val="auto"/>
          <w:sz w:val="21"/>
          <w:szCs w:val="21"/>
          <w:highlight w:val="none"/>
        </w:rPr>
        <w:t>文件中关于电子招投标内容、流程如与政采云系统中最新的内容、操作不一致的，以政采云系统中的要求为准</w:t>
      </w:r>
      <w:r>
        <w:rPr>
          <w:rFonts w:hint="eastAsia" w:asciiTheme="minorEastAsia" w:hAnsiTheme="minorEastAsia"/>
          <w:color w:val="auto"/>
          <w:sz w:val="21"/>
          <w:szCs w:val="21"/>
          <w:highlight w:val="none"/>
        </w:rPr>
        <w:t>。</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4.9特别说明（针对货物采购）：</w:t>
      </w:r>
    </w:p>
    <w:p>
      <w:pPr>
        <w:pStyle w:val="94"/>
        <w:spacing w:line="460" w:lineRule="exact"/>
        <w:ind w:left="0" w:leftChars="0"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5、 质疑与投诉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5.1、投标人认为、采购过程和中标、成交结果使自己的权益受到损害的，可以在知道或者应知其权益受到损害之日起七个工作日内，以书面形式向采购人、采购代理机构提出质疑</w:t>
      </w:r>
      <w:r>
        <w:rPr>
          <w:rFonts w:hint="eastAsia" w:asciiTheme="minorEastAsia" w:hAnsiTheme="minorEastAsia"/>
          <w:b/>
          <w:color w:val="auto"/>
          <w:sz w:val="21"/>
          <w:szCs w:val="21"/>
          <w:highlight w:val="none"/>
        </w:rPr>
        <w:t>（注</w:t>
      </w:r>
      <w:r>
        <w:rPr>
          <w:rFonts w:asciiTheme="minorEastAsia" w:hAnsiTheme="minorEastAsia"/>
          <w:b/>
          <w:color w:val="auto"/>
          <w:sz w:val="21"/>
          <w:szCs w:val="21"/>
          <w:highlight w:val="none"/>
        </w:rPr>
        <w:t>：</w:t>
      </w:r>
      <w:r>
        <w:rPr>
          <w:rFonts w:hint="eastAsia" w:asciiTheme="minorEastAsia" w:hAnsiTheme="minorEastAsia"/>
          <w:b/>
          <w:color w:val="auto"/>
          <w:sz w:val="21"/>
          <w:szCs w:val="21"/>
          <w:highlight w:val="none"/>
        </w:rPr>
        <w:t>投标人须</w:t>
      </w:r>
      <w:r>
        <w:rPr>
          <w:rFonts w:asciiTheme="minorEastAsia" w:hAnsiTheme="minorEastAsia"/>
          <w:b/>
          <w:color w:val="auto"/>
          <w:sz w:val="21"/>
          <w:szCs w:val="21"/>
          <w:highlight w:val="none"/>
        </w:rPr>
        <w:t>在法定质疑期内一次性提出针对同一采购程序环节的质疑</w:t>
      </w:r>
      <w:r>
        <w:rPr>
          <w:rFonts w:hint="eastAsia" w:asciiTheme="minorEastAsia" w:hAnsiTheme="minorEastAsia"/>
          <w:b/>
          <w:color w:val="auto"/>
          <w:sz w:val="21"/>
          <w:szCs w:val="21"/>
          <w:highlight w:val="none"/>
        </w:rPr>
        <w:t>）</w:t>
      </w:r>
      <w:r>
        <w:rPr>
          <w:rFonts w:hint="eastAsia" w:asciiTheme="minorEastAsia" w:hAnsiTheme="minorEastAsia"/>
          <w:color w:val="auto"/>
          <w:sz w:val="21"/>
          <w:szCs w:val="21"/>
          <w:highlight w:val="none"/>
        </w:rPr>
        <w:t>。潜在投标人的书面质疑或澄清要求均应加盖单位公章，署明日期。投标人未按规定要求提出的，则视同认可，但法律法规及规范性文件有明确规定的除外。供应商对采购代理机构的质疑答复不满意或者采购机构未在规定时间内作出答复的，可以在答复期满后十五个工作日内向同级政府采购监督管理部门投诉。</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5.2、对于受理的质疑，采购代理机构将以书面形式或其他适当方式进行答疑，必要时将书面答复发送所有取得本项目采购文件的投标人。若采购代理机构所作的答疑不引起相应条款的实质性改变，则不应视作对采购文件的修正或更正。</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5.3、采购代理机构发送的答疑文件是采购文件的组成部分，对投标人具有约束力。</w:t>
      </w:r>
    </w:p>
    <w:p>
      <w:pPr>
        <w:pStyle w:val="94"/>
        <w:spacing w:line="460" w:lineRule="exact"/>
        <w:ind w:left="0" w:leftChars="0" w:firstLine="420"/>
        <w:rPr>
          <w:rFonts w:asciiTheme="minorEastAsia" w:hAnsiTheme="minorEastAsia"/>
          <w:color w:val="auto"/>
          <w:sz w:val="21"/>
          <w:szCs w:val="21"/>
          <w:highlight w:val="none"/>
        </w:rPr>
      </w:pPr>
      <w:bookmarkStart w:id="33" w:name="_Hlk49407732"/>
      <w:r>
        <w:rPr>
          <w:rFonts w:hint="eastAsia" w:asciiTheme="minorEastAsia" w:hAnsiTheme="minorEastAsia"/>
          <w:color w:val="auto"/>
          <w:sz w:val="21"/>
          <w:szCs w:val="21"/>
          <w:highlight w:val="none"/>
        </w:rPr>
        <w:t>5.4、未尽事宜，见《政府采购质疑和投诉办法》（中华人民共和国财政部令第94号）</w:t>
      </w:r>
      <w:bookmarkEnd w:id="33"/>
      <w:r>
        <w:rPr>
          <w:rFonts w:hint="eastAsia" w:asciiTheme="minorEastAsia" w:hAnsiTheme="minorEastAsia"/>
          <w:color w:val="auto"/>
          <w:sz w:val="21"/>
          <w:szCs w:val="21"/>
          <w:highlight w:val="none"/>
        </w:rPr>
        <w:t>。</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二、采购文件</w:t>
      </w:r>
    </w:p>
    <w:p>
      <w:pPr>
        <w:pStyle w:val="94"/>
        <w:spacing w:line="460" w:lineRule="exact"/>
        <w:ind w:left="0" w:leftChars="0" w:firstLine="0" w:firstLineChars="0"/>
        <w:rPr>
          <w:rFonts w:asciiTheme="minorEastAsia" w:hAnsiTheme="minorEastAsia"/>
          <w:b/>
          <w:color w:val="auto"/>
          <w:sz w:val="21"/>
          <w:szCs w:val="21"/>
          <w:highlight w:val="none"/>
        </w:rPr>
      </w:pPr>
      <w:r>
        <w:rPr>
          <w:rFonts w:asciiTheme="minorEastAsia" w:hAnsiTheme="minorEastAsia"/>
          <w:b/>
          <w:color w:val="auto"/>
          <w:sz w:val="21"/>
          <w:szCs w:val="21"/>
          <w:highlight w:val="none"/>
        </w:rPr>
        <w:t>6</w:t>
      </w:r>
      <w:r>
        <w:rPr>
          <w:rFonts w:hint="eastAsia" w:asciiTheme="minorEastAsia" w:hAnsiTheme="minorEastAsia"/>
          <w:b/>
          <w:color w:val="auto"/>
          <w:sz w:val="21"/>
          <w:szCs w:val="21"/>
          <w:highlight w:val="none"/>
        </w:rPr>
        <w:t>、采购文件构成</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6</w:t>
      </w:r>
      <w:r>
        <w:rPr>
          <w:rFonts w:hint="eastAsia" w:asciiTheme="minorEastAsia" w:hAnsiTheme="minorEastAsia"/>
          <w:color w:val="auto"/>
          <w:sz w:val="21"/>
          <w:szCs w:val="21"/>
          <w:highlight w:val="none"/>
        </w:rPr>
        <w:t>.1、采购文件包括目录所示内容及采购文件的澄清或修改。</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6</w:t>
      </w:r>
      <w:r>
        <w:rPr>
          <w:rFonts w:hint="eastAsia" w:asciiTheme="minorEastAsia" w:hAnsiTheme="minorEastAsia"/>
          <w:color w:val="auto"/>
          <w:sz w:val="21"/>
          <w:szCs w:val="21"/>
          <w:highlight w:val="none"/>
        </w:rPr>
        <w:t>.2、除上述所列内容外，采购人和采购代理机构的任何工作人员对投标人所作的任何口头解释、介绍、答复，只能供投标人参考，对采购人、采购代理机构和投标人无任何约束力。</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6</w:t>
      </w:r>
      <w:r>
        <w:rPr>
          <w:rFonts w:hint="eastAsia" w:asciiTheme="minorEastAsia" w:hAnsiTheme="minorEastAsia"/>
          <w:color w:val="auto"/>
          <w:sz w:val="21"/>
          <w:szCs w:val="21"/>
          <w:highlight w:val="none"/>
        </w:rPr>
        <w:t>.3、采购文件是招标过程进行的有效依据，也是成交后签订合同的依据，对双方均具有约束力，凡不遵守采购文件规定或对采购文件的实质性内容不响应的，将可能被拒绝或以无效标处理。</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6</w:t>
      </w:r>
      <w:r>
        <w:rPr>
          <w:rFonts w:hint="eastAsia" w:asciiTheme="minorEastAsia" w:hAnsiTheme="minorEastAsia"/>
          <w:color w:val="auto"/>
          <w:sz w:val="21"/>
          <w:szCs w:val="21"/>
          <w:highlight w:val="none"/>
        </w:rPr>
        <w:t>.4、本采购文件由采购人或采购代理机构依据相关法律、法规、规章、省市规定及采购文件进行解释。</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7、采购文件的澄清或修改</w:t>
      </w:r>
    </w:p>
    <w:p>
      <w:pPr>
        <w:tabs>
          <w:tab w:val="left" w:pos="709"/>
        </w:tabs>
        <w:spacing w:line="360" w:lineRule="auto"/>
        <w:ind w:firstLine="420" w:firstLineChars="200"/>
        <w:contextualSpacing/>
        <w:rPr>
          <w:rFonts w:ascii="宋体" w:hAnsi="宋体"/>
          <w:color w:val="auto"/>
          <w:szCs w:val="21"/>
          <w:highlight w:val="none"/>
        </w:rPr>
      </w:pPr>
      <w:r>
        <w:rPr>
          <w:rFonts w:hint="eastAsia" w:asciiTheme="minorEastAsia" w:hAnsiTheme="minorEastAsia" w:eastAsiaTheme="minorEastAsia"/>
          <w:color w:val="auto"/>
          <w:szCs w:val="21"/>
          <w:highlight w:val="none"/>
        </w:rPr>
        <w:t>7</w:t>
      </w:r>
      <w:r>
        <w:rPr>
          <w:rFonts w:hint="eastAsia" w:ascii="宋体" w:hAnsi="宋体"/>
          <w:color w:val="auto"/>
          <w:szCs w:val="21"/>
          <w:highlight w:val="none"/>
        </w:rPr>
        <w:t>.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rPr>
        <w:t>澄清或者修改的内容可能影响投标文件编制的，采购人或者采购代理机构应当在投标截止时间至少</w:t>
      </w:r>
      <w:r>
        <w:rPr>
          <w:rFonts w:ascii="宋体" w:hAnsi="宋体"/>
          <w:color w:val="auto"/>
          <w:szCs w:val="21"/>
          <w:highlight w:val="none"/>
        </w:rPr>
        <w:t>15</w:t>
      </w:r>
      <w:r>
        <w:rPr>
          <w:rFonts w:hint="eastAsia" w:ascii="宋体" w:hAnsi="宋体"/>
          <w:color w:val="auto"/>
          <w:szCs w:val="21"/>
          <w:highlight w:val="none"/>
        </w:rPr>
        <w:t>日前，以书面形式通知所有获取采购文件的潜在投标人；不足</w:t>
      </w:r>
      <w:r>
        <w:rPr>
          <w:rFonts w:ascii="宋体" w:hAnsi="宋体"/>
          <w:color w:val="auto"/>
          <w:szCs w:val="21"/>
          <w:highlight w:val="none"/>
        </w:rPr>
        <w:t>15</w:t>
      </w:r>
      <w:r>
        <w:rPr>
          <w:rFonts w:hint="eastAsia" w:ascii="宋体" w:hAnsi="宋体"/>
          <w:color w:val="auto"/>
          <w:szCs w:val="21"/>
          <w:highlight w:val="none"/>
        </w:rPr>
        <w:t>日的，采购人或者采购代理机构应当顺延提交投标文件的截止时间。</w:t>
      </w:r>
    </w:p>
    <w:p>
      <w:pPr>
        <w:tabs>
          <w:tab w:val="left" w:pos="709"/>
        </w:tabs>
        <w:spacing w:line="360" w:lineRule="auto"/>
        <w:ind w:firstLine="420" w:firstLineChars="200"/>
        <w:contextualSpacing/>
        <w:rPr>
          <w:rFonts w:ascii="宋体" w:hAnsi="宋体"/>
          <w:color w:val="auto"/>
          <w:szCs w:val="21"/>
          <w:highlight w:val="none"/>
        </w:rPr>
      </w:pPr>
      <w:r>
        <w:rPr>
          <w:rFonts w:hint="eastAsia" w:asciiTheme="minorEastAsia" w:hAnsiTheme="minorEastAsia" w:eastAsiaTheme="minorEastAsia"/>
          <w:color w:val="auto"/>
          <w:szCs w:val="21"/>
          <w:highlight w:val="none"/>
        </w:rPr>
        <w:t>7</w:t>
      </w:r>
      <w:r>
        <w:rPr>
          <w:rFonts w:hint="eastAsia" w:ascii="宋体" w:hAnsi="宋体"/>
          <w:color w:val="auto"/>
          <w:szCs w:val="21"/>
          <w:highlight w:val="none"/>
        </w:rPr>
        <w:t>.2</w:t>
      </w:r>
      <w:r>
        <w:rPr>
          <w:rFonts w:ascii="宋体" w:hAnsi="宋体"/>
          <w:color w:val="auto"/>
          <w:szCs w:val="21"/>
          <w:highlight w:val="none"/>
        </w:rPr>
        <w:t>采购代理机构必须以书面形式答复投标人要求澄清的问题，并将不包含问题来源的答复书面通知所有</w:t>
      </w:r>
      <w:r>
        <w:rPr>
          <w:rFonts w:hint="eastAsia" w:ascii="宋体" w:hAnsi="宋体"/>
          <w:color w:val="auto"/>
          <w:szCs w:val="21"/>
          <w:highlight w:val="none"/>
        </w:rPr>
        <w:t>获取</w:t>
      </w:r>
      <w:r>
        <w:rPr>
          <w:rFonts w:ascii="宋体" w:hAnsi="宋体"/>
          <w:color w:val="auto"/>
          <w:szCs w:val="21"/>
          <w:highlight w:val="none"/>
        </w:rPr>
        <w:t>采购文件的投标人；除书面答复以外的其他澄清方式及澄清内容均无效。</w:t>
      </w:r>
    </w:p>
    <w:p>
      <w:pPr>
        <w:tabs>
          <w:tab w:val="left" w:pos="709"/>
        </w:tabs>
        <w:spacing w:line="360" w:lineRule="auto"/>
        <w:ind w:firstLine="420" w:firstLineChars="200"/>
        <w:contextualSpacing/>
        <w:rPr>
          <w:rFonts w:ascii="宋体" w:hAnsi="宋体"/>
          <w:color w:val="auto"/>
          <w:szCs w:val="21"/>
          <w:highlight w:val="none"/>
        </w:rPr>
      </w:pPr>
      <w:r>
        <w:rPr>
          <w:rFonts w:hint="eastAsia" w:asciiTheme="minorEastAsia" w:hAnsiTheme="minorEastAsia" w:eastAsiaTheme="minorEastAsia"/>
          <w:color w:val="auto"/>
          <w:szCs w:val="21"/>
          <w:highlight w:val="none"/>
        </w:rPr>
        <w:t>7</w:t>
      </w:r>
      <w:r>
        <w:rPr>
          <w:rFonts w:hint="eastAsia" w:ascii="宋体" w:hAnsi="宋体"/>
          <w:color w:val="auto"/>
          <w:szCs w:val="21"/>
          <w:highlight w:val="none"/>
        </w:rPr>
        <w:t>.3</w:t>
      </w:r>
      <w:r>
        <w:rPr>
          <w:rFonts w:ascii="宋体" w:hAnsi="宋体"/>
          <w:color w:val="auto"/>
          <w:szCs w:val="21"/>
          <w:highlight w:val="none"/>
        </w:rPr>
        <w:t>采购文件澄清、答复、修改、补充的内容为采购文件的组成部分。当采购文件与采购文件的答复、澄清、修改、补充通知就同一内容的表述不一致时，以最后发出的书面文件为准。</w:t>
      </w:r>
    </w:p>
    <w:p>
      <w:pPr>
        <w:tabs>
          <w:tab w:val="left" w:pos="709"/>
        </w:tabs>
        <w:spacing w:line="360" w:lineRule="auto"/>
        <w:ind w:firstLine="420" w:firstLineChars="200"/>
        <w:contextualSpacing/>
        <w:rPr>
          <w:rFonts w:ascii="宋体" w:hAnsi="宋体"/>
          <w:color w:val="auto"/>
          <w:szCs w:val="21"/>
          <w:highlight w:val="none"/>
        </w:rPr>
      </w:pPr>
      <w:r>
        <w:rPr>
          <w:rFonts w:hint="eastAsia" w:asciiTheme="minorEastAsia" w:hAnsiTheme="minorEastAsia" w:eastAsiaTheme="minorEastAsia"/>
          <w:color w:val="auto"/>
          <w:szCs w:val="21"/>
          <w:highlight w:val="none"/>
        </w:rPr>
        <w:t>7</w:t>
      </w:r>
      <w:r>
        <w:rPr>
          <w:rFonts w:hint="eastAsia" w:ascii="宋体" w:hAnsi="宋体"/>
          <w:color w:val="auto"/>
          <w:szCs w:val="21"/>
          <w:highlight w:val="none"/>
        </w:rPr>
        <w:t>.4</w:t>
      </w:r>
      <w:r>
        <w:rPr>
          <w:rFonts w:ascii="宋体" w:hAnsi="宋体"/>
          <w:color w:val="auto"/>
          <w:szCs w:val="21"/>
          <w:highlight w:val="none"/>
        </w:rPr>
        <w:t>采购文件的澄清、答复、修改或补充都应该通过本代理机构以法定形式发布，采购人非通过本机构，不得擅自澄清、答复、修改或补充采购文件。</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8、关于分公司投标</w:t>
      </w:r>
    </w:p>
    <w:p>
      <w:pPr>
        <w:tabs>
          <w:tab w:val="left" w:pos="709"/>
        </w:tabs>
        <w:spacing w:line="360" w:lineRule="auto"/>
        <w:ind w:firstLine="420" w:firstLineChars="200"/>
        <w:contextualSpacing/>
        <w:rPr>
          <w:color w:val="auto"/>
          <w:szCs w:val="21"/>
          <w:highlight w:val="none"/>
        </w:rPr>
      </w:pPr>
      <w:r>
        <w:rPr>
          <w:rFonts w:hint="eastAsia"/>
          <w:color w:val="auto"/>
          <w:szCs w:val="21"/>
          <w:highlight w:val="none"/>
        </w:rPr>
        <w:t>除金融、保险、通讯等特定行业外，法人的分支机构由于不能独立承担民事责任，不能以分支机构的身份参加政府采购，只能法人身份参加。</w:t>
      </w:r>
    </w:p>
    <w:p>
      <w:pPr>
        <w:tabs>
          <w:tab w:val="left" w:pos="709"/>
        </w:tabs>
        <w:spacing w:line="360" w:lineRule="auto"/>
        <w:contextualSpacing/>
        <w:rPr>
          <w:b/>
          <w:color w:val="auto"/>
          <w:szCs w:val="21"/>
          <w:highlight w:val="none"/>
        </w:rPr>
      </w:pPr>
      <w:r>
        <w:rPr>
          <w:rFonts w:hint="eastAsia"/>
          <w:b/>
          <w:color w:val="auto"/>
          <w:szCs w:val="21"/>
          <w:highlight w:val="none"/>
        </w:rPr>
        <w:t>9、关于知识产权</w:t>
      </w:r>
    </w:p>
    <w:p>
      <w:pPr>
        <w:tabs>
          <w:tab w:val="left" w:pos="709"/>
        </w:tabs>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1</w:t>
      </w:r>
      <w:r>
        <w:rPr>
          <w:rFonts w:hint="eastAsia" w:ascii="宋体" w:hAnsi="宋体"/>
          <w:color w:val="auto"/>
          <w:szCs w:val="21"/>
          <w:highlight w:val="none"/>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tabs>
          <w:tab w:val="left" w:pos="709"/>
        </w:tabs>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.2</w:t>
      </w:r>
      <w:r>
        <w:rPr>
          <w:rFonts w:hint="eastAsia" w:ascii="宋体" w:hAnsi="宋体"/>
          <w:color w:val="auto"/>
          <w:szCs w:val="21"/>
          <w:highlight w:val="none"/>
        </w:rPr>
        <w:t>投标报价应包含所有应向所有权人支付的专利权、商标权或其它知识产权的一切相关费用。</w:t>
      </w:r>
    </w:p>
    <w:p>
      <w:pPr>
        <w:tabs>
          <w:tab w:val="left" w:pos="709"/>
        </w:tabs>
        <w:spacing w:line="360" w:lineRule="auto"/>
        <w:ind w:firstLine="420" w:firstLineChars="200"/>
        <w:contextualSpacing/>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.3</w:t>
      </w:r>
      <w:r>
        <w:rPr>
          <w:rFonts w:hint="eastAsia" w:ascii="宋体" w:hAnsi="宋体"/>
          <w:color w:val="auto"/>
          <w:szCs w:val="21"/>
          <w:highlight w:val="none"/>
        </w:rPr>
        <w:t>系统软件、通用软件必须是具有在中国境内的合法使用权或版权的正版软件，涉及到第三方提出侵权或知识产权的起诉及支付版税等费用由供应商承担所有责任及费用。</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三、投标文件</w:t>
      </w:r>
    </w:p>
    <w:p>
      <w:pPr>
        <w:pStyle w:val="94"/>
        <w:spacing w:line="460" w:lineRule="exact"/>
        <w:ind w:left="0" w:leftChars="0" w:firstLine="413" w:firstLineChars="196"/>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投标人应认真阅读采购文件中所有的事项、格式、条款和技术要求等。如果投标人没有按照采购文件要求和规定编制投标文件及提交全部资料，或者投标人没有对采购文件中各方面作出实质性响应，其风险应由投标人自行承担。</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10、投标文件的组成</w:t>
      </w:r>
    </w:p>
    <w:p>
      <w:pPr>
        <w:pStyle w:val="94"/>
        <w:spacing w:line="460" w:lineRule="exact"/>
        <w:ind w:left="0" w:leftChars="0" w:firstLine="525" w:firstLineChars="2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投标人接到后，按照采购代理机构的要求提供：资格证明文件、商务与技术文件和报价文件。</w:t>
      </w:r>
    </w:p>
    <w:p>
      <w:pPr>
        <w:pStyle w:val="94"/>
        <w:spacing w:line="460" w:lineRule="exact"/>
        <w:ind w:left="0" w:leftChars="0" w:firstLine="0" w:firstLineChars="0"/>
        <w:rPr>
          <w:rFonts w:cs="FangSong_GB2312" w:asciiTheme="minorEastAsia" w:hAnsiTheme="minorEastAsia"/>
          <w:color w:val="auto"/>
          <w:sz w:val="21"/>
          <w:szCs w:val="21"/>
          <w:highlight w:val="none"/>
          <w:lang w:val="zh-CN"/>
        </w:rPr>
      </w:pPr>
      <w:r>
        <w:rPr>
          <w:rFonts w:hint="eastAsia" w:asciiTheme="minorEastAsia" w:hAnsiTheme="minorEastAsia"/>
          <w:color w:val="auto"/>
          <w:sz w:val="21"/>
          <w:szCs w:val="21"/>
          <w:highlight w:val="none"/>
          <w:lang w:val="zh-CN"/>
        </w:rPr>
        <w:t>【特别提示：如有要求提供各项证书、合同、报告等证明的，请将原件清晰扫描做入投标文件。】</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cs="宋体" w:asciiTheme="minorEastAsia" w:hAnsiTheme="minorEastAsia"/>
          <w:color w:val="auto"/>
          <w:sz w:val="21"/>
          <w:szCs w:val="21"/>
          <w:highlight w:val="none"/>
        </w:rPr>
        <w:t>▲</w:t>
      </w:r>
      <w:r>
        <w:rPr>
          <w:rFonts w:hint="eastAsia" w:asciiTheme="minorEastAsia" w:hAnsiTheme="minorEastAsia"/>
          <w:color w:val="auto"/>
          <w:sz w:val="21"/>
          <w:szCs w:val="21"/>
          <w:highlight w:val="none"/>
        </w:rPr>
        <w:t>10.1、资格证明</w:t>
      </w:r>
      <w:r>
        <w:rPr>
          <w:rFonts w:asciiTheme="minorEastAsia" w:hAnsiTheme="minorEastAsia"/>
          <w:color w:val="auto"/>
          <w:sz w:val="21"/>
          <w:szCs w:val="21"/>
          <w:highlight w:val="none"/>
        </w:rPr>
        <w:t>文件</w:t>
      </w:r>
      <w:r>
        <w:rPr>
          <w:rFonts w:hint="eastAsia" w:asciiTheme="minorEastAsia" w:hAnsiTheme="minorEastAsia"/>
          <w:color w:val="auto"/>
          <w:sz w:val="21"/>
          <w:szCs w:val="21"/>
          <w:highlight w:val="none"/>
        </w:rPr>
        <w:t>的组成：</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（1）声明书 (须包含参加政府招标采购活动前3年内在经营活动中没有重大违法记录的内容,格式见附件)；</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（2）授权委托书（法定代表人亲自办理投标事宜的，无需提交，格式见附件)；</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（3）营业执照扫描件；</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（4）中小企业声明函、监狱企业、残疾人福利性单位及其他相关的充分的证明材料（格式见附件）；</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（5）财务状况报告的相关材料或承诺函（格式自拟）；</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（6）具有履行合同所必需的场地、设备和专业技术能力的承诺函（格式自拟）；</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（7）依法缴纳税收和社会保障资金的相关材料证明或承诺函（格式自拟）；</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（8）投标供应商没有失信记录承诺函（格式自拟）。</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注：采购人或采购代理机构在资格审查时，通过“信用中国”网站（www.creditchina.gov.cn）、中国政府采购网（www.ccgp.gov.cn）等渠道查询供应商在投标截止日之前的信用记录并保存。投标人若被列入失信被执行人或重大税收违法失信</w:t>
      </w:r>
      <w:r>
        <w:rPr>
          <w:rFonts w:cs="宋体" w:asciiTheme="minorEastAsia" w:hAnsiTheme="minorEastAsia"/>
          <w:color w:val="auto"/>
          <w:sz w:val="21"/>
          <w:szCs w:val="21"/>
          <w:highlight w:val="none"/>
        </w:rPr>
        <w:t>主体</w:t>
      </w:r>
      <w:r>
        <w:rPr>
          <w:rFonts w:hint="eastAsia" w:cs="宋体" w:asciiTheme="minorEastAsia" w:hAnsiTheme="minorEastAsia"/>
          <w:color w:val="auto"/>
          <w:sz w:val="21"/>
          <w:szCs w:val="21"/>
          <w:highlight w:val="none"/>
        </w:rPr>
        <w:t>或政府采购严重违法失信行为记录名单的，则否决其投标。若开标当天因不可抗力事件导致无法查询且一时无法恢复的，可在中标通知书发出前对中标人进行查询，如中标人被列入失信被执行人或重大税收违法失信主体或政府采购严重违法失信行为记录名单的，则取消中标资格。</w:t>
      </w:r>
    </w:p>
    <w:p>
      <w:pPr>
        <w:pStyle w:val="94"/>
        <w:spacing w:line="460" w:lineRule="exact"/>
        <w:ind w:left="0" w:leftChars="0" w:firstLine="0" w:firstLineChars="0"/>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10.2、报价文件的组成</w:t>
      </w:r>
    </w:p>
    <w:p>
      <w:pPr>
        <w:pStyle w:val="94"/>
        <w:spacing w:line="460" w:lineRule="exact"/>
        <w:ind w:left="0" w:leftChars="0" w:firstLine="210" w:firstLineChars="10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（1）投标函（格式见附件）；</w:t>
      </w:r>
    </w:p>
    <w:p>
      <w:pPr>
        <w:pStyle w:val="94"/>
        <w:spacing w:line="460" w:lineRule="exact"/>
        <w:ind w:left="0" w:leftChars="0" w:firstLine="210" w:firstLineChars="10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（2）开标一览表（格式见附件）；</w:t>
      </w:r>
    </w:p>
    <w:p>
      <w:pPr>
        <w:pStyle w:val="94"/>
        <w:spacing w:line="460" w:lineRule="exact"/>
        <w:ind w:left="0" w:leftChars="0" w:firstLine="210" w:firstLineChars="10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（3）报价明细表（格式见附件）；</w:t>
      </w:r>
    </w:p>
    <w:p>
      <w:pPr>
        <w:pStyle w:val="94"/>
        <w:spacing w:line="460" w:lineRule="exact"/>
        <w:ind w:left="0" w:leftChars="0" w:firstLine="210" w:firstLineChars="10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（4）投标人认为需提交的其他文件资料。</w:t>
      </w:r>
    </w:p>
    <w:p>
      <w:pPr>
        <w:pStyle w:val="94"/>
        <w:spacing w:line="460" w:lineRule="exact"/>
        <w:ind w:left="0" w:leftChars="0" w:firstLine="0" w:firstLineChars="0"/>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10.3、商务与技术文件的组成：</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w:t>
      </w:r>
      <w:r>
        <w:rPr>
          <w:rFonts w:cs="宋体" w:asciiTheme="minorEastAsia" w:hAnsiTheme="minorEastAsia"/>
          <w:color w:val="auto"/>
          <w:sz w:val="21"/>
          <w:szCs w:val="21"/>
          <w:highlight w:val="none"/>
        </w:rPr>
        <w:t>1）商务技术自评表(</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（2）供应商基本情况表</w:t>
      </w: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 xml:space="preserve">）； </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w:t>
      </w:r>
      <w:r>
        <w:rPr>
          <w:rFonts w:cs="宋体" w:asciiTheme="minorEastAsia" w:hAnsiTheme="minorEastAsia"/>
          <w:color w:val="auto"/>
          <w:sz w:val="21"/>
          <w:szCs w:val="21"/>
          <w:highlight w:val="none"/>
        </w:rPr>
        <w:t>3）证书一览表（</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4</w:t>
      </w: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供货方案</w:t>
      </w:r>
      <w:r>
        <w:rPr>
          <w:rFonts w:cs="宋体" w:asciiTheme="minorEastAsia" w:hAnsiTheme="minorEastAsia"/>
          <w:color w:val="auto"/>
          <w:sz w:val="21"/>
          <w:szCs w:val="21"/>
          <w:highlight w:val="none"/>
        </w:rPr>
        <w:t>；</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（5）</w:t>
      </w:r>
      <w:r>
        <w:rPr>
          <w:rFonts w:cs="宋体" w:asciiTheme="minorEastAsia" w:hAnsiTheme="minorEastAsia"/>
          <w:color w:val="auto"/>
          <w:sz w:val="21"/>
          <w:szCs w:val="21"/>
          <w:highlight w:val="none"/>
        </w:rPr>
        <w:t>技术规范偏离表（</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 xml:space="preserve">）； </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6</w:t>
      </w:r>
      <w:r>
        <w:rPr>
          <w:rFonts w:cs="宋体" w:asciiTheme="minorEastAsia" w:hAnsiTheme="minorEastAsia"/>
          <w:color w:val="auto"/>
          <w:sz w:val="21"/>
          <w:szCs w:val="21"/>
          <w:highlight w:val="none"/>
        </w:rPr>
        <w:t>）商务偏离表（</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 xml:space="preserve">）； </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（7</w:t>
      </w:r>
      <w:r>
        <w:rPr>
          <w:rFonts w:cs="宋体" w:asciiTheme="minorEastAsia" w:hAnsiTheme="minorEastAsia"/>
          <w:color w:val="auto"/>
          <w:sz w:val="21"/>
          <w:szCs w:val="21"/>
          <w:highlight w:val="none"/>
        </w:rPr>
        <w:t>） 相关项目实施业绩一览表（</w:t>
      </w:r>
      <w:r>
        <w:rPr>
          <w:rFonts w:hint="eastAsia" w:cs="宋体" w:asciiTheme="minorEastAsia" w:hAnsiTheme="minorEastAsia"/>
          <w:color w:val="auto"/>
          <w:sz w:val="21"/>
          <w:szCs w:val="21"/>
          <w:highlight w:val="none"/>
        </w:rPr>
        <w:t>格式见附件</w:t>
      </w:r>
      <w:r>
        <w:rPr>
          <w:rFonts w:cs="宋体" w:asciiTheme="minorEastAsia" w:hAnsiTheme="minorEastAsia"/>
          <w:color w:val="auto"/>
          <w:sz w:val="21"/>
          <w:szCs w:val="21"/>
          <w:highlight w:val="none"/>
        </w:rPr>
        <w:t xml:space="preserve">件）；  </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8</w:t>
      </w:r>
      <w:r>
        <w:rPr>
          <w:rFonts w:cs="宋体" w:asciiTheme="minorEastAsia" w:hAnsiTheme="minorEastAsia"/>
          <w:color w:val="auto"/>
          <w:sz w:val="21"/>
          <w:szCs w:val="21"/>
          <w:highlight w:val="none"/>
        </w:rPr>
        <w:t>）售后服务方案；</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9</w:t>
      </w:r>
      <w:r>
        <w:rPr>
          <w:rFonts w:cs="宋体" w:asciiTheme="minorEastAsia" w:hAnsiTheme="minorEastAsia"/>
          <w:color w:val="auto"/>
          <w:sz w:val="21"/>
          <w:szCs w:val="21"/>
          <w:highlight w:val="none"/>
        </w:rPr>
        <w:t xml:space="preserve">）评分标准或采购文件需要提供的其他技术商务材料； </w:t>
      </w:r>
    </w:p>
    <w:p>
      <w:pPr>
        <w:pStyle w:val="94"/>
        <w:spacing w:line="460" w:lineRule="exact"/>
        <w:ind w:left="0" w:leftChars="0" w:firstLine="315" w:firstLineChars="150"/>
        <w:jc w:val="left"/>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（1</w:t>
      </w:r>
      <w:r>
        <w:rPr>
          <w:rFonts w:hint="eastAsia" w:cs="宋体" w:asciiTheme="minorEastAsia" w:hAnsiTheme="minorEastAsia"/>
          <w:color w:val="auto"/>
          <w:sz w:val="21"/>
          <w:szCs w:val="21"/>
          <w:highlight w:val="none"/>
        </w:rPr>
        <w:t>0</w:t>
      </w:r>
      <w:r>
        <w:rPr>
          <w:rFonts w:cs="宋体" w:asciiTheme="minorEastAsia" w:hAnsiTheme="minorEastAsia"/>
          <w:color w:val="auto"/>
          <w:sz w:val="21"/>
          <w:szCs w:val="21"/>
          <w:highlight w:val="none"/>
        </w:rPr>
        <w:t>）供应商认为有必要提供的其他技术商务文件资料。</w:t>
      </w:r>
    </w:p>
    <w:p>
      <w:pPr>
        <w:pStyle w:val="94"/>
        <w:spacing w:line="460" w:lineRule="exact"/>
        <w:ind w:left="0" w:leftChars="0" w:firstLine="0" w:firstLineChars="0"/>
        <w:jc w:val="left"/>
        <w:rPr>
          <w:rFonts w:cs="宋体" w:asciiTheme="minorEastAsia" w:hAnsiTheme="minorEastAsia"/>
          <w:color w:val="auto"/>
          <w:sz w:val="21"/>
          <w:szCs w:val="21"/>
          <w:highlight w:val="none"/>
        </w:rPr>
      </w:pPr>
      <w:r>
        <w:rPr>
          <w:rFonts w:hint="eastAsia" w:asciiTheme="minorEastAsia" w:hAnsiTheme="minorEastAsia"/>
          <w:b/>
          <w:color w:val="auto"/>
          <w:sz w:val="21"/>
          <w:szCs w:val="21"/>
          <w:highlight w:val="none"/>
        </w:rPr>
        <w:t>11、投标文件的制作、封装及递交要求</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11.1、投标文件的制作要求</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投标人应按照投标文件组成内容及项目采购需求和浙江政府采购云平台要求制作投标文件，不按投标文件组成内容及项目采购需求和浙江政府采购云平台要求制作投标文件的将视情处理（拒收、扣分等），由此产生的责任由投标人自行承担。</w:t>
      </w:r>
    </w:p>
    <w:p>
      <w:pPr>
        <w:pStyle w:val="94"/>
        <w:spacing w:line="460" w:lineRule="exact"/>
        <w:ind w:left="0" w:leftChars="0" w:firstLine="413" w:firstLineChars="196"/>
        <w:rPr>
          <w:rFonts w:cs="FangSong_GB2312" w:asciiTheme="minorEastAsia" w:hAnsiTheme="minorEastAsia"/>
          <w:b/>
          <w:color w:val="auto"/>
          <w:sz w:val="21"/>
          <w:szCs w:val="21"/>
          <w:highlight w:val="none"/>
        </w:rPr>
      </w:pPr>
      <w:r>
        <w:rPr>
          <w:rFonts w:hint="eastAsia" w:cs="FangSong_GB2312" w:asciiTheme="minorEastAsia" w:hAnsiTheme="minorEastAsia"/>
          <w:b/>
          <w:color w:val="auto"/>
          <w:sz w:val="21"/>
          <w:szCs w:val="21"/>
          <w:highlight w:val="none"/>
        </w:rPr>
        <w:t>电子投标文件部分：投标人应根据“政采云供应商项目采购-电子招投标操作指南”及本规定的格式和顺序编制电子投标文件并进行关联定位。</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备份电子投标文件：通过“政采云”平台电子投标工具制作投标文件所产生的备份文件</w:t>
      </w:r>
    </w:p>
    <w:p>
      <w:pPr>
        <w:pStyle w:val="94"/>
        <w:spacing w:line="460" w:lineRule="exact"/>
        <w:ind w:left="0" w:leftChars="0" w:firstLine="315" w:firstLineChars="150"/>
        <w:rPr>
          <w:rFonts w:cs="Lucida Sans" w:asciiTheme="minorEastAsia" w:hAnsiTheme="minorEastAsia"/>
          <w:color w:val="auto"/>
          <w:sz w:val="21"/>
          <w:szCs w:val="21"/>
          <w:highlight w:val="none"/>
        </w:rPr>
      </w:pPr>
      <w:r>
        <w:rPr>
          <w:rFonts w:hint="eastAsia" w:cs="Lucida Sans" w:asciiTheme="minorEastAsia" w:hAnsiTheme="minorEastAsia"/>
          <w:color w:val="auto"/>
          <w:sz w:val="21"/>
          <w:szCs w:val="21"/>
          <w:highlight w:val="none"/>
        </w:rPr>
        <w:t>（2）投标人应对所提供的全部资料的真实性、有效性承担法律责任，电子投标文件中所须加盖公章部分均采用CA签章。</w:t>
      </w:r>
    </w:p>
    <w:p>
      <w:pPr>
        <w:pStyle w:val="94"/>
        <w:spacing w:line="460" w:lineRule="exact"/>
        <w:ind w:left="0" w:leftChars="0" w:firstLine="420"/>
        <w:rPr>
          <w:rFonts w:cs="Lucida Sans" w:asciiTheme="minorEastAsia" w:hAnsiTheme="minorEastAsia"/>
          <w:color w:val="auto"/>
          <w:sz w:val="21"/>
          <w:szCs w:val="21"/>
          <w:highlight w:val="none"/>
        </w:rPr>
      </w:pPr>
      <w:r>
        <w:rPr>
          <w:rFonts w:hint="eastAsia" w:asciiTheme="minorEastAsia" w:hAnsiTheme="minorEastAsia"/>
          <w:color w:val="auto"/>
          <w:sz w:val="21"/>
          <w:szCs w:val="21"/>
          <w:highlight w:val="none"/>
        </w:rPr>
        <w:t>（3）</w:t>
      </w:r>
      <w:r>
        <w:rPr>
          <w:rFonts w:asciiTheme="minorEastAsia" w:hAnsiTheme="minorEastAsia"/>
          <w:color w:val="auto"/>
          <w:sz w:val="21"/>
          <w:szCs w:val="21"/>
          <w:highlight w:val="none"/>
        </w:rPr>
        <w:t>投标文件以及投标人与</w:t>
      </w:r>
      <w:r>
        <w:rPr>
          <w:rFonts w:hint="eastAsia" w:asciiTheme="minorEastAsia" w:hAnsiTheme="minorEastAsia"/>
          <w:color w:val="auto"/>
          <w:sz w:val="21"/>
          <w:szCs w:val="21"/>
          <w:highlight w:val="none"/>
        </w:rPr>
        <w:t>采购代理机构</w:t>
      </w:r>
      <w:r>
        <w:rPr>
          <w:rFonts w:asciiTheme="minorEastAsia" w:hAnsiTheme="minorEastAsia"/>
          <w:color w:val="auto"/>
          <w:sz w:val="21"/>
          <w:szCs w:val="21"/>
          <w:highlight w:val="none"/>
        </w:rPr>
        <w:t>就有关投标事宜的所有来往函电，均应以中文汉语书写。除</w:t>
      </w:r>
      <w:r>
        <w:rPr>
          <w:rFonts w:hint="eastAsia" w:asciiTheme="minorEastAsia" w:hAnsiTheme="minorEastAsia"/>
          <w:color w:val="auto"/>
          <w:sz w:val="21"/>
          <w:szCs w:val="21"/>
          <w:highlight w:val="none"/>
        </w:rPr>
        <w:t>签字</w:t>
      </w:r>
      <w:r>
        <w:rPr>
          <w:rFonts w:asciiTheme="minorEastAsia" w:hAnsiTheme="minorEastAsia"/>
          <w:color w:val="auto"/>
          <w:sz w:val="21"/>
          <w:szCs w:val="21"/>
          <w:highlight w:val="none"/>
        </w:rPr>
        <w:t>、盖章、专用名称等特殊情形外，以中文汉语以外的文字表述的投标文件视同未提供。</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w:t>
      </w:r>
      <w:r>
        <w:rPr>
          <w:rFonts w:asciiTheme="minorEastAsia" w:hAnsiTheme="minorEastAsia"/>
          <w:color w:val="auto"/>
          <w:sz w:val="21"/>
          <w:szCs w:val="21"/>
          <w:highlight w:val="none"/>
        </w:rPr>
        <w:t>投标计量单位，已有明确规定的，使用规定的计量单位；没有规定的，应采用中华人民共和国法定计量单位（货币单位：人民币元）。</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w:t>
      </w:r>
      <w:r>
        <w:rPr>
          <w:rFonts w:asciiTheme="minorEastAsia" w:hAnsiTheme="minorEastAsia"/>
          <w:color w:val="auto"/>
          <w:sz w:val="21"/>
          <w:szCs w:val="21"/>
          <w:highlight w:val="none"/>
        </w:rPr>
        <w:t>若投标人不按的要求提供资格审查材料，其风险由投标人自行承担。</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（6）与本次投标无关的内容请不要制作在内，确保投标文件有针对性、简洁明了。</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11.2、投标文件的编制、递交要求</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投标文件的递交要求</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cs="宋体" w:asciiTheme="minorEastAsia" w:hAnsiTheme="minorEastAsia"/>
          <w:color w:val="auto"/>
          <w:sz w:val="21"/>
          <w:szCs w:val="21"/>
          <w:highlight w:val="none"/>
        </w:rPr>
        <w:t>（1）投标人须按照采购文件和政采云平台的要求编制并加密投标文件。在投标文件递交截止时间以前完成投标文件的传输递交。</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（2）备份电子投标文件必须在规定时间前发送至指定邮箱</w:t>
      </w:r>
      <w:r>
        <w:rPr>
          <w:rFonts w:hint="eastAsia" w:cs="宋体" w:asciiTheme="minorEastAsia" w:hAnsiTheme="minorEastAsia"/>
          <w:color w:val="auto"/>
          <w:sz w:val="21"/>
          <w:szCs w:val="21"/>
          <w:highlight w:val="none"/>
        </w:rPr>
        <w:t>。</w:t>
      </w:r>
      <w:r>
        <w:rPr>
          <w:rFonts w:hint="eastAsia" w:asciiTheme="minorEastAsia" w:hAnsiTheme="minorEastAsia"/>
          <w:color w:val="auto"/>
          <w:sz w:val="21"/>
          <w:szCs w:val="21"/>
          <w:highlight w:val="none"/>
        </w:rPr>
        <w:t>备份电子投标文件在截止时间后提交，采购代理机构将拒绝接收。</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（3）如有特殊情况，采购代理机构延长截止时间和开标时间，采购代理机构和投标人的权利和义务将受到新的截止时间和开标时间的约束。</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11.3、投标文件的补充、修改和撤回</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cs="宋体" w:asciiTheme="minorEastAsia" w:hAnsiTheme="minorEastAsia"/>
          <w:color w:val="auto"/>
          <w:sz w:val="21"/>
          <w:szCs w:val="21"/>
          <w:highlight w:val="none"/>
        </w:rPr>
        <w:t>（1）</w:t>
      </w:r>
      <w:r>
        <w:rPr>
          <w:rFonts w:hint="eastAsia" w:asciiTheme="minorEastAsia" w:hAnsiTheme="minorEastAsia"/>
          <w:color w:val="auto"/>
          <w:sz w:val="21"/>
          <w:szCs w:val="21"/>
          <w:highlight w:val="none"/>
        </w:rPr>
        <w:t>补充或者修改投标文件的，应当先行撤回原文件，补充、修改后重新传输递交。投标截止时间前未完成传输的，视为撤回投标文件。</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11</w:t>
      </w:r>
      <w:r>
        <w:rPr>
          <w:rFonts w:asciiTheme="minorEastAsia" w:hAnsiTheme="minorEastAsia"/>
          <w:b/>
          <w:color w:val="auto"/>
          <w:sz w:val="21"/>
          <w:szCs w:val="21"/>
          <w:highlight w:val="none"/>
        </w:rPr>
        <w:t>.4</w:t>
      </w:r>
      <w:r>
        <w:rPr>
          <w:rFonts w:hint="eastAsia" w:asciiTheme="minorEastAsia" w:hAnsiTheme="minorEastAsia"/>
          <w:b/>
          <w:color w:val="auto"/>
          <w:sz w:val="21"/>
          <w:szCs w:val="21"/>
          <w:highlight w:val="none"/>
        </w:rPr>
        <w:t>投标文件的有效期</w:t>
      </w:r>
    </w:p>
    <w:p>
      <w:pPr>
        <w:pStyle w:val="94"/>
        <w:spacing w:line="460" w:lineRule="exact"/>
        <w:ind w:left="0" w:leftChars="0" w:firstLine="315" w:firstLineChars="150"/>
        <w:rPr>
          <w:rFonts w:cs="FangSong_GB2312" w:asciiTheme="minorEastAsia" w:hAnsiTheme="minorEastAsia"/>
          <w:color w:val="auto"/>
          <w:sz w:val="21"/>
          <w:szCs w:val="21"/>
          <w:highlight w:val="none"/>
          <w:lang w:val="en-GB"/>
        </w:rPr>
      </w:pPr>
      <w:r>
        <w:rPr>
          <w:rFonts w:hint="eastAsia" w:asciiTheme="minorEastAsia" w:hAnsiTheme="minorEastAsia"/>
          <w:color w:val="auto"/>
          <w:sz w:val="21"/>
          <w:szCs w:val="21"/>
          <w:highlight w:val="none"/>
          <w:lang w:val="en-GB"/>
        </w:rPr>
        <w:t>（1）自投标截止日起90天投标文件应保持有效。有效期不足的投标文件将被拒绝。</w:t>
      </w:r>
    </w:p>
    <w:p>
      <w:pPr>
        <w:pStyle w:val="94"/>
        <w:spacing w:line="460" w:lineRule="exact"/>
        <w:ind w:left="0" w:leftChars="0" w:firstLine="315" w:firstLineChars="150"/>
        <w:rPr>
          <w:rFonts w:asciiTheme="minorEastAsia" w:hAnsiTheme="minorEastAsia"/>
          <w:color w:val="auto"/>
          <w:sz w:val="21"/>
          <w:szCs w:val="21"/>
          <w:highlight w:val="none"/>
          <w:lang w:val="en-GB"/>
        </w:rPr>
      </w:pPr>
      <w:r>
        <w:rPr>
          <w:rFonts w:hint="eastAsia" w:asciiTheme="minorEastAsia" w:hAnsiTheme="minorEastAsia"/>
          <w:color w:val="auto"/>
          <w:sz w:val="21"/>
          <w:szCs w:val="21"/>
          <w:highlight w:val="none"/>
          <w:lang w:val="en-GB"/>
        </w:rPr>
        <w:t>（2）在特殊情况下，采购人可与投标人协商延长投标文件的有效期，这种要求和答复均以书面形式进行。</w:t>
      </w:r>
    </w:p>
    <w:p>
      <w:pPr>
        <w:pStyle w:val="94"/>
        <w:spacing w:line="460" w:lineRule="exact"/>
        <w:ind w:left="0" w:leftChars="0" w:firstLine="315" w:firstLineChars="150"/>
        <w:rPr>
          <w:rFonts w:asciiTheme="minorEastAsia" w:hAnsiTheme="minorEastAsia"/>
          <w:color w:val="auto"/>
          <w:sz w:val="21"/>
          <w:szCs w:val="21"/>
          <w:highlight w:val="none"/>
        </w:rPr>
      </w:pPr>
      <w:bookmarkStart w:id="34" w:name="_Toc30825"/>
      <w:bookmarkStart w:id="35" w:name="_Toc24220"/>
      <w:bookmarkStart w:id="36" w:name="_Toc15470"/>
      <w:r>
        <w:rPr>
          <w:rFonts w:hint="eastAsia" w:asciiTheme="minorEastAsia" w:hAnsiTheme="minorEastAsia"/>
          <w:color w:val="auto"/>
          <w:sz w:val="21"/>
          <w:szCs w:val="21"/>
          <w:highlight w:val="none"/>
          <w:lang w:val="en-GB"/>
        </w:rPr>
        <w:t>（3）</w:t>
      </w:r>
      <w:r>
        <w:rPr>
          <w:rFonts w:asciiTheme="minorEastAsia" w:hAnsiTheme="minorEastAsia"/>
          <w:color w:val="auto"/>
          <w:sz w:val="21"/>
          <w:szCs w:val="21"/>
          <w:highlight w:val="none"/>
        </w:rPr>
        <w:t>中标人的投标文件自开标之日起至合同履行完毕均应保持有效。</w:t>
      </w:r>
      <w:bookmarkEnd w:id="34"/>
      <w:bookmarkEnd w:id="35"/>
      <w:bookmarkEnd w:id="36"/>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四、开标</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12、开标事项</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12.1、采购代理机构在</w:t>
      </w: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采购公告</w:t>
      </w: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规定的时间和地点公开开标。</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12.2、评标期间，投标供应商代表应在线操作，并关注政采云有关信息公布、澄清等情况。投标供应商的法定代表人或其授权代表未按时签到登记的，视同放弃开标监督权利、认可开标结果。</w:t>
      </w:r>
    </w:p>
    <w:p>
      <w:pPr>
        <w:pStyle w:val="94"/>
        <w:spacing w:line="460" w:lineRule="exact"/>
        <w:ind w:left="0" w:leftChars="0" w:firstLine="422"/>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13、 开标程序：</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13.1、开标时间到后，采购代理机构项目负责人准时组织开标。</w:t>
      </w:r>
    </w:p>
    <w:p>
      <w:pPr>
        <w:pStyle w:val="94"/>
        <w:spacing w:line="460" w:lineRule="exact"/>
        <w:ind w:left="0" w:leftChars="0" w:firstLine="420"/>
        <w:rPr>
          <w:rFonts w:asciiTheme="minorEastAsia" w:hAnsiTheme="minorEastAsia"/>
          <w:b/>
          <w:color w:val="auto"/>
          <w:sz w:val="21"/>
          <w:szCs w:val="21"/>
          <w:highlight w:val="none"/>
        </w:rPr>
      </w:pPr>
      <w:r>
        <w:rPr>
          <w:rFonts w:hint="eastAsia" w:asciiTheme="minorEastAsia" w:hAnsiTheme="minorEastAsia"/>
          <w:color w:val="auto"/>
          <w:sz w:val="21"/>
          <w:szCs w:val="21"/>
          <w:highlight w:val="none"/>
        </w:rPr>
        <w:t>13.2、投标人登录政采云平台，用“项目采购-开标评标”功能对电子投标文件进行在线解密。</w:t>
      </w:r>
      <w:r>
        <w:rPr>
          <w:rFonts w:hint="eastAsia" w:cs="宋体"/>
          <w:color w:val="auto"/>
          <w:szCs w:val="21"/>
          <w:highlight w:val="none"/>
        </w:rPr>
        <w:t>在线解密电子投标文件时间为开标时间后</w:t>
      </w:r>
      <w:r>
        <w:rPr>
          <w:rFonts w:cs="宋体"/>
          <w:color w:val="auto"/>
          <w:szCs w:val="21"/>
          <w:highlight w:val="none"/>
        </w:rPr>
        <w:t>30分钟</w:t>
      </w:r>
      <w:r>
        <w:rPr>
          <w:rFonts w:hint="eastAsia" w:cs="宋体"/>
          <w:color w:val="auto"/>
          <w:szCs w:val="21"/>
          <w:highlight w:val="none"/>
        </w:rPr>
        <w:t>内。</w:t>
      </w:r>
      <w:r>
        <w:rPr>
          <w:rFonts w:hint="eastAsia" w:asciiTheme="minorEastAsia" w:hAnsiTheme="minorEastAsia"/>
          <w:b/>
          <w:color w:val="auto"/>
          <w:sz w:val="21"/>
          <w:szCs w:val="21"/>
          <w:highlight w:val="none"/>
        </w:rPr>
        <w:t>投标文件解密结束，投标供应商通过电子邮件形式将经授权代表签署的《政府采购活动现场确认声明书》（格式见最后一页内容）的扫描件或（图片）发至采购代理机构邮箱：zgtzfgs@163.com。开评标活动结束之前投标供应商拒不发送《政府采购活动现场确认声明书》的，由此产生的一切风险责任由供应商自行承担。</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13.3、开启《报价响应文件》后并在线公布开标一览表有关内容，投标供应商应在线签字确认（不予确认的应说明理由，否则视为无异议）。</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13.4、公布开标结果。</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13.5、特别说明：本项目原则上采用政采云电子招投标开标及评审程序，但有下情形之一的，按以下情况处理：</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（1）若投标人在规定时间内无法解密或解密失败，采购代理机构将开启该投标人递交的备份电子投标文件，上传至政采云平台项目采购模块，以完成开标，电子投标文件自动失效。</w:t>
      </w:r>
    </w:p>
    <w:p>
      <w:pPr>
        <w:spacing w:line="360" w:lineRule="auto"/>
        <w:ind w:firstLine="420" w:firstLineChars="200"/>
        <w:rPr>
          <w:rFonts w:asciiTheme="minorEastAsia" w:hAnsiTheme="minorEastAsia"/>
          <w:b/>
          <w:color w:val="auto"/>
          <w:szCs w:val="21"/>
          <w:highlight w:val="none"/>
        </w:rPr>
      </w:pPr>
      <w:r>
        <w:rPr>
          <w:rFonts w:hint="eastAsia" w:asciiTheme="minorEastAsia" w:hAnsiTheme="minorEastAsia"/>
          <w:color w:val="auto"/>
          <w:szCs w:val="21"/>
          <w:highlight w:val="none"/>
        </w:rPr>
        <w:t>（2）</w:t>
      </w:r>
      <w:r>
        <w:rPr>
          <w:rFonts w:hint="eastAsia" w:asciiTheme="minorEastAsia" w:hAnsiTheme="minorEastAsia"/>
          <w:b/>
          <w:color w:val="auto"/>
          <w:szCs w:val="21"/>
          <w:highlight w:val="none"/>
        </w:rPr>
        <w:t>开评标细则按政采云电子评标流程进行。特别说明：政采云公司如对电子化开标及评审程序有调整的，按调整后的程序操作。</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（3）采购过程中出现以下情形，导致电子交易平台无法正常运行，或者无法保证电子交易的公平、公正和安全时，采购人（或代理机构）可中止电子交易活动：</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①电子交易平台发生故障而无法登录访问的；</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②电子交易平台应用或数据库出现错误，不能进行正常操作的；</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③电子交易平台发现严重安全漏洞，有潜在泄密危险的；</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④病毒发作导致不能进行正常操作的；</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⑤其他无法保证电子交易的公平、公正和安全的情况。</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出现前款规定情形，不影响采购公平、公正性的，采购人（或代理机构）可以待上述情形消除后继续组织电子交易活动，也可以决定某些环节以纸质形式进行。</w:t>
      </w:r>
    </w:p>
    <w:p>
      <w:pPr>
        <w:spacing w:line="360" w:lineRule="auto"/>
        <w:ind w:firstLine="420" w:firstLineChars="200"/>
        <w:rPr>
          <w:rFonts w:asciiTheme="minorEastAsia" w:hAnsiTheme="minorEastAsia" w:eastAsiaTheme="minorEastAsia" w:cstheme="minorBidi"/>
          <w:color w:val="auto"/>
          <w:szCs w:val="21"/>
          <w:highlight w:val="none"/>
        </w:rPr>
      </w:pPr>
      <w:r>
        <w:rPr>
          <w:rFonts w:hint="eastAsia" w:asciiTheme="minorEastAsia" w:hAnsiTheme="minorEastAsia" w:eastAsiaTheme="minorEastAsia" w:cstheme="minorBidi"/>
          <w:color w:val="auto"/>
          <w:szCs w:val="21"/>
          <w:highlight w:val="none"/>
        </w:rPr>
        <w:t>（</w:t>
      </w:r>
      <w:r>
        <w:rPr>
          <w:rFonts w:asciiTheme="minorEastAsia" w:hAnsiTheme="minorEastAsia" w:eastAsiaTheme="minorEastAsia" w:cstheme="minorBidi"/>
          <w:color w:val="auto"/>
          <w:szCs w:val="21"/>
          <w:highlight w:val="none"/>
        </w:rPr>
        <w:t>4</w:t>
      </w:r>
      <w:r>
        <w:rPr>
          <w:rFonts w:hint="eastAsia" w:asciiTheme="minorEastAsia" w:hAnsiTheme="minorEastAsia" w:eastAsiaTheme="minorEastAsia" w:cstheme="minorBidi"/>
          <w:color w:val="auto"/>
          <w:szCs w:val="21"/>
          <w:highlight w:val="none"/>
        </w:rPr>
        <w:t>）未开启的备份投标文件现场不予以退还。</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五、评标和定标</w:t>
      </w:r>
    </w:p>
    <w:p>
      <w:pPr>
        <w:pStyle w:val="94"/>
        <w:spacing w:line="460" w:lineRule="exact"/>
        <w:ind w:left="0" w:leftChars="0" w:firstLine="0" w:firstLineChars="0"/>
        <w:rPr>
          <w:rFonts w:asciiTheme="minorEastAsia" w:hAnsiTheme="minorEastAsia"/>
          <w:b/>
          <w:color w:val="auto"/>
          <w:sz w:val="21"/>
          <w:szCs w:val="21"/>
          <w:highlight w:val="none"/>
        </w:rPr>
      </w:pPr>
      <w:bookmarkStart w:id="37" w:name="_Toc430790229"/>
      <w:bookmarkStart w:id="38" w:name="_Toc425151748"/>
      <w:bookmarkStart w:id="39" w:name="_Toc425780292"/>
      <w:bookmarkStart w:id="40" w:name="_Toc429407708"/>
      <w:r>
        <w:rPr>
          <w:rFonts w:hint="eastAsia" w:asciiTheme="minorEastAsia" w:hAnsiTheme="minorEastAsia"/>
          <w:b/>
          <w:color w:val="auto"/>
          <w:sz w:val="21"/>
          <w:szCs w:val="21"/>
          <w:highlight w:val="none"/>
        </w:rPr>
        <w:t>14、</w:t>
      </w:r>
      <w:r>
        <w:rPr>
          <w:rFonts w:asciiTheme="minorEastAsia" w:hAnsiTheme="minorEastAsia"/>
          <w:b/>
          <w:color w:val="auto"/>
          <w:sz w:val="21"/>
          <w:szCs w:val="21"/>
          <w:highlight w:val="none"/>
        </w:rPr>
        <w:t>评标委员会</w:t>
      </w:r>
      <w:bookmarkEnd w:id="37"/>
      <w:bookmarkEnd w:id="38"/>
      <w:bookmarkEnd w:id="39"/>
      <w:bookmarkEnd w:id="40"/>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14.1</w:t>
      </w:r>
      <w:r>
        <w:rPr>
          <w:rFonts w:asciiTheme="minorEastAsia" w:hAnsiTheme="minorEastAsia"/>
          <w:color w:val="auto"/>
          <w:sz w:val="21"/>
          <w:szCs w:val="21"/>
          <w:highlight w:val="none"/>
        </w:rPr>
        <w:t>受采购人的委托，采购代理机构根据《</w:t>
      </w:r>
      <w:r>
        <w:rPr>
          <w:rFonts w:hint="eastAsia" w:asciiTheme="minorEastAsia" w:hAnsiTheme="minorEastAsia"/>
          <w:color w:val="auto"/>
          <w:sz w:val="21"/>
          <w:szCs w:val="21"/>
          <w:highlight w:val="none"/>
        </w:rPr>
        <w:t>中华人民共和国</w:t>
      </w:r>
      <w:r>
        <w:rPr>
          <w:rFonts w:asciiTheme="minorEastAsia" w:hAnsiTheme="minorEastAsia"/>
          <w:color w:val="auto"/>
          <w:sz w:val="21"/>
          <w:szCs w:val="21"/>
          <w:highlight w:val="none"/>
        </w:rPr>
        <w:t>政府采购法》、财政部第8</w:t>
      </w:r>
      <w:r>
        <w:rPr>
          <w:rFonts w:hint="eastAsia" w:asciiTheme="minorEastAsia" w:hAnsiTheme="minorEastAsia"/>
          <w:color w:val="auto"/>
          <w:sz w:val="21"/>
          <w:szCs w:val="21"/>
          <w:highlight w:val="none"/>
        </w:rPr>
        <w:t>7</w:t>
      </w:r>
      <w:r>
        <w:rPr>
          <w:rFonts w:asciiTheme="minorEastAsia" w:hAnsiTheme="minorEastAsia"/>
          <w:color w:val="auto"/>
          <w:sz w:val="21"/>
          <w:szCs w:val="21"/>
          <w:highlight w:val="none"/>
        </w:rPr>
        <w:t>号令的规定和有关的</w:t>
      </w:r>
      <w:r>
        <w:rPr>
          <w:rFonts w:hint="eastAsia" w:asciiTheme="minorEastAsia" w:hAnsiTheme="minorEastAsia"/>
          <w:color w:val="auto"/>
          <w:sz w:val="21"/>
          <w:szCs w:val="21"/>
          <w:highlight w:val="none"/>
        </w:rPr>
        <w:t>法律</w:t>
      </w:r>
      <w:r>
        <w:rPr>
          <w:rFonts w:asciiTheme="minorEastAsia" w:hAnsiTheme="minorEastAsia"/>
          <w:color w:val="auto"/>
          <w:sz w:val="21"/>
          <w:szCs w:val="21"/>
          <w:highlight w:val="none"/>
        </w:rPr>
        <w:t>法规组建评标委员会，评标委员会负责评标工作。评标委员会由</w:t>
      </w:r>
      <w:r>
        <w:rPr>
          <w:rFonts w:hint="eastAsia" w:asciiTheme="minorEastAsia" w:hAnsiTheme="minorEastAsia"/>
          <w:color w:val="auto"/>
          <w:sz w:val="21"/>
          <w:szCs w:val="21"/>
          <w:highlight w:val="none"/>
        </w:rPr>
        <w:t>采购人</w:t>
      </w:r>
      <w:r>
        <w:rPr>
          <w:rFonts w:asciiTheme="minorEastAsia" w:hAnsiTheme="minorEastAsia"/>
          <w:color w:val="auto"/>
          <w:sz w:val="21"/>
          <w:szCs w:val="21"/>
          <w:highlight w:val="none"/>
        </w:rPr>
        <w:t>代表和</w:t>
      </w:r>
      <w:r>
        <w:rPr>
          <w:rFonts w:hint="eastAsia" w:asciiTheme="minorEastAsia" w:hAnsiTheme="minorEastAsia"/>
          <w:color w:val="auto"/>
          <w:sz w:val="21"/>
          <w:szCs w:val="21"/>
          <w:highlight w:val="none"/>
        </w:rPr>
        <w:t>评审</w:t>
      </w:r>
      <w:r>
        <w:rPr>
          <w:rFonts w:asciiTheme="minorEastAsia" w:hAnsiTheme="minorEastAsia"/>
          <w:color w:val="auto"/>
          <w:sz w:val="21"/>
          <w:szCs w:val="21"/>
          <w:highlight w:val="none"/>
        </w:rPr>
        <w:t>专家组成。</w:t>
      </w:r>
      <w:r>
        <w:rPr>
          <w:rFonts w:hint="eastAsia" w:asciiTheme="minorEastAsia" w:hAnsiTheme="minorEastAsia"/>
          <w:color w:val="auto"/>
          <w:sz w:val="21"/>
          <w:szCs w:val="21"/>
          <w:highlight w:val="none"/>
        </w:rPr>
        <w:t>评审</w:t>
      </w:r>
      <w:r>
        <w:rPr>
          <w:rFonts w:asciiTheme="minorEastAsia" w:hAnsiTheme="minorEastAsia"/>
          <w:color w:val="auto"/>
          <w:sz w:val="21"/>
          <w:szCs w:val="21"/>
          <w:highlight w:val="none"/>
        </w:rPr>
        <w:t>专家将在开标日之前在管理部门的</w:t>
      </w:r>
      <w:r>
        <w:rPr>
          <w:rFonts w:hint="eastAsia" w:asciiTheme="minorEastAsia" w:hAnsiTheme="minorEastAsia"/>
          <w:color w:val="auto"/>
          <w:sz w:val="21"/>
          <w:szCs w:val="21"/>
          <w:highlight w:val="none"/>
        </w:rPr>
        <w:t>评审</w:t>
      </w:r>
      <w:r>
        <w:rPr>
          <w:rFonts w:asciiTheme="minorEastAsia" w:hAnsiTheme="minorEastAsia"/>
          <w:color w:val="auto"/>
          <w:sz w:val="21"/>
          <w:szCs w:val="21"/>
          <w:highlight w:val="none"/>
        </w:rPr>
        <w:t>专家库中随机抽取。</w:t>
      </w:r>
      <w:r>
        <w:rPr>
          <w:rFonts w:hint="eastAsia" w:asciiTheme="minorEastAsia" w:hAnsiTheme="minorEastAsia"/>
          <w:color w:val="auto"/>
          <w:sz w:val="21"/>
          <w:szCs w:val="21"/>
          <w:highlight w:val="none"/>
        </w:rPr>
        <w:t>评标委员会成员名单在评标结果公告前应当保密。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14.2</w:t>
      </w:r>
      <w:r>
        <w:rPr>
          <w:rFonts w:asciiTheme="minorEastAsia" w:hAnsiTheme="minorEastAsia"/>
          <w:color w:val="auto"/>
          <w:sz w:val="21"/>
          <w:szCs w:val="21"/>
          <w:highlight w:val="none"/>
        </w:rPr>
        <w:t>评标委员会将遵循公平、公正、科学、廉洁的原则和规定的程序进行评标，并且只依据投标文件本身对采购文件的响应情况进行评审，不考虑投标人在开标后提交的任何的补充声明、修正方案。</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1</w:t>
      </w:r>
      <w:r>
        <w:rPr>
          <w:rFonts w:hint="eastAsia" w:asciiTheme="minorEastAsia" w:hAnsiTheme="minorEastAsia"/>
          <w:color w:val="auto"/>
          <w:sz w:val="21"/>
          <w:szCs w:val="21"/>
          <w:highlight w:val="none"/>
        </w:rPr>
        <w:t>4</w:t>
      </w:r>
      <w:r>
        <w:rPr>
          <w:rFonts w:asciiTheme="minorEastAsia" w:hAnsiTheme="minorEastAsia"/>
          <w:color w:val="auto"/>
          <w:sz w:val="21"/>
          <w:szCs w:val="21"/>
          <w:highlight w:val="none"/>
        </w:rPr>
        <w:t>.3评委依法独立评审，并对评审意见承担个人责任。对明显畸高、畸低的评分（其个人主观打分偏离所有评审小组成员主观评分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14.4</w:t>
      </w:r>
      <w:r>
        <w:rPr>
          <w:rFonts w:asciiTheme="minorEastAsia" w:hAnsiTheme="minorEastAsia"/>
          <w:color w:val="auto"/>
          <w:sz w:val="21"/>
          <w:szCs w:val="21"/>
          <w:highlight w:val="none"/>
        </w:rPr>
        <w:t>评标委员会将核对投标价格和</w:t>
      </w:r>
      <w:r>
        <w:rPr>
          <w:rFonts w:hint="eastAsia" w:asciiTheme="minorEastAsia" w:hAnsiTheme="minorEastAsia"/>
          <w:color w:val="auto"/>
          <w:sz w:val="21"/>
          <w:szCs w:val="21"/>
          <w:highlight w:val="none"/>
        </w:rPr>
        <w:t>服务内容</w:t>
      </w:r>
      <w:r>
        <w:rPr>
          <w:rFonts w:asciiTheme="minorEastAsia" w:hAnsiTheme="minorEastAsia"/>
          <w:color w:val="auto"/>
          <w:sz w:val="21"/>
          <w:szCs w:val="21"/>
          <w:highlight w:val="none"/>
        </w:rPr>
        <w:t>，对发现的价格计算错误按下述原则处理：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（1）投标文件中开标一览表内容与投标文件中相应内容不一致的，以开标一览表为准。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（2）投标文件的大写金额和小写金额不一致的，以大写金额为准。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（3）单价金额小数点或者百分比有明显错位的，以开标一览表的总价为准，并修改单价；</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（4）总价金额与按单价汇总金额不一致，以单价金额计算结果为准。</w:t>
      </w:r>
    </w:p>
    <w:p>
      <w:pPr>
        <w:pStyle w:val="94"/>
        <w:spacing w:line="460" w:lineRule="exact"/>
        <w:ind w:left="0" w:leftChars="0" w:firstLine="422"/>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w:t>
      </w:r>
      <w:r>
        <w:rPr>
          <w:rFonts w:asciiTheme="minorEastAsia" w:hAnsiTheme="minorEastAsia"/>
          <w:b/>
          <w:color w:val="auto"/>
          <w:sz w:val="21"/>
          <w:szCs w:val="21"/>
          <w:highlight w:val="none"/>
        </w:rPr>
        <w:t>5）客户端填写的报价与以pdf格式上传文件中的报价不一致的，应以pdf格式上传文件中的报价为准。</w:t>
      </w:r>
    </w:p>
    <w:p>
      <w:pPr>
        <w:spacing w:line="360" w:lineRule="auto"/>
        <w:ind w:firstLine="420" w:firstLineChars="200"/>
        <w:contextualSpacing/>
        <w:rPr>
          <w:rFonts w:asciiTheme="minorEastAsia" w:hAnsiTheme="minorEastAsia"/>
          <w:color w:val="auto"/>
          <w:szCs w:val="21"/>
          <w:highlight w:val="none"/>
        </w:rPr>
      </w:pPr>
      <w:r>
        <w:rPr>
          <w:rFonts w:hint="eastAsia" w:asciiTheme="minorEastAsia" w:hAnsiTheme="minorEastAsia"/>
          <w:color w:val="auto"/>
          <w:szCs w:val="21"/>
          <w:highlight w:val="none"/>
        </w:rPr>
        <w:t>同时出现两种以上不一致的，按照前款规定的顺序修正。修正后的报价经投标人确认后产生约束力，投标人不确认的，其投标无效。</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14.5</w:t>
      </w:r>
      <w:r>
        <w:rPr>
          <w:rFonts w:asciiTheme="minorEastAsia" w:hAnsiTheme="minorEastAsia"/>
          <w:color w:val="auto"/>
          <w:sz w:val="21"/>
          <w:szCs w:val="21"/>
          <w:highlight w:val="none"/>
        </w:rPr>
        <w:t>评标委员会根据采购文件的《评标办法》及在《投标资料表》和《</w:t>
      </w:r>
      <w:r>
        <w:rPr>
          <w:rFonts w:hint="eastAsia" w:asciiTheme="minorEastAsia" w:hAnsiTheme="minorEastAsia"/>
          <w:color w:val="auto"/>
          <w:sz w:val="21"/>
          <w:szCs w:val="21"/>
          <w:highlight w:val="none"/>
        </w:rPr>
        <w:t>采购内容及要求</w:t>
      </w:r>
      <w:r>
        <w:rPr>
          <w:rFonts w:asciiTheme="minorEastAsia" w:hAnsiTheme="minorEastAsia"/>
          <w:color w:val="auto"/>
          <w:sz w:val="21"/>
          <w:szCs w:val="21"/>
          <w:highlight w:val="none"/>
        </w:rPr>
        <w:t>》中所列的具体标准，对投标文件进行评审和比较。</w:t>
      </w:r>
    </w:p>
    <w:p>
      <w:pPr>
        <w:pStyle w:val="94"/>
        <w:spacing w:line="460" w:lineRule="exact"/>
        <w:ind w:left="0" w:leftChars="0" w:firstLine="0" w:firstLineChars="0"/>
        <w:rPr>
          <w:rFonts w:asciiTheme="minorEastAsia" w:hAnsiTheme="minorEastAsia"/>
          <w:b/>
          <w:color w:val="auto"/>
          <w:sz w:val="21"/>
          <w:szCs w:val="21"/>
          <w:highlight w:val="none"/>
        </w:rPr>
      </w:pPr>
      <w:bookmarkStart w:id="41" w:name="_Toc425780293"/>
      <w:bookmarkStart w:id="42" w:name="_Toc430790230"/>
      <w:bookmarkStart w:id="43" w:name="_Toc425151749"/>
      <w:bookmarkStart w:id="44" w:name="_Toc429407709"/>
      <w:r>
        <w:rPr>
          <w:rFonts w:hint="eastAsia" w:asciiTheme="minorEastAsia" w:hAnsiTheme="minorEastAsia"/>
          <w:b/>
          <w:color w:val="auto"/>
          <w:sz w:val="21"/>
          <w:szCs w:val="21"/>
          <w:highlight w:val="none"/>
        </w:rPr>
        <w:t>15、</w:t>
      </w:r>
      <w:bookmarkEnd w:id="41"/>
      <w:bookmarkEnd w:id="42"/>
      <w:bookmarkEnd w:id="43"/>
      <w:bookmarkEnd w:id="44"/>
      <w:bookmarkStart w:id="45" w:name="_Toc429407710"/>
      <w:bookmarkStart w:id="46" w:name="_Toc430790231"/>
      <w:bookmarkStart w:id="47" w:name="_Toc425780294"/>
      <w:bookmarkStart w:id="48" w:name="_Toc425151750"/>
      <w:r>
        <w:rPr>
          <w:rFonts w:hint="eastAsia" w:asciiTheme="minorEastAsia" w:hAnsiTheme="minorEastAsia"/>
          <w:b/>
          <w:color w:val="auto"/>
          <w:sz w:val="21"/>
          <w:szCs w:val="21"/>
          <w:highlight w:val="none"/>
        </w:rPr>
        <w:t>澄清问题的形式</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15.1评标委员会在对投标文件的有效性、完整性和响应程度进行审查时，可以要求投标供应商对投标文件中含义不明确、同类问题表述不一致或者有明显文字和计算错误的内容等做出必要的澄清。投标供应商的澄清不得超出投标文件的范围或者改变投标文件的实质性内容。</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15.2政采云具体操作如下：</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在评审过程中，如评标委员会对投标文件有疑问，由评标委员会组长将问题汇总后发函，或由采购代理机构代替发起。投标供应商在截止时间前，予以回复。此回复将作为投标文件内容的一部分，具有相应的法律效力。</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路径：用户中心—项目采购—询标澄清</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（1）政采云平台通过待办事项和短信提醒供应商在截止时间前完成澄清。</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（2）投标供应商在“询标澄清-待办理”标签页下选择状态为“待澄清”的项目，点击操作栏【澄清】。</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（3）查看函内容，在澄清截止时间前上传澄清文件并对澄清文件进行签章。（注：澄清文件必须以PDF格式上传，文件大小：50M）</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（4）签章完成，文件名称处显示“已签章”，供应商可“撤回签章”修改澄清函和“查看文件”。</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确认澄清文件内容后，点击右上角【提交】；（注：投标供应商未对澄清文件签章，提交时，弹框提醒“澄清文件未签章，请进行签章操作”，如遇CA突发情况无法签章，供应商可点击【放弃签章并提交】提交澄清文件；反之则签章后再提交。）</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（6）完成状态：供应商澄清文件提交成功后，在“询标澄清-全部”标签页下显示状态为“已澄清”。</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15.3投标供应商未在截止时间前完成澄清，将被视作自动放弃。</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16、</w:t>
      </w:r>
      <w:r>
        <w:rPr>
          <w:rFonts w:asciiTheme="minorEastAsia" w:hAnsiTheme="minorEastAsia"/>
          <w:b/>
          <w:color w:val="auto"/>
          <w:sz w:val="21"/>
          <w:szCs w:val="21"/>
          <w:highlight w:val="none"/>
        </w:rPr>
        <w:t>评标办法</w:t>
      </w:r>
      <w:bookmarkEnd w:id="45"/>
      <w:bookmarkEnd w:id="46"/>
      <w:bookmarkEnd w:id="47"/>
      <w:bookmarkEnd w:id="48"/>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16.1本项目</w:t>
      </w:r>
      <w:r>
        <w:rPr>
          <w:rFonts w:asciiTheme="minorEastAsia" w:hAnsiTheme="minorEastAsia"/>
          <w:color w:val="auto"/>
          <w:sz w:val="21"/>
          <w:szCs w:val="21"/>
          <w:highlight w:val="none"/>
        </w:rPr>
        <w:t>采用综合评分法。本次招标</w:t>
      </w:r>
      <w:r>
        <w:rPr>
          <w:rFonts w:hint="eastAsia" w:asciiTheme="minorEastAsia" w:hAnsiTheme="minorEastAsia"/>
          <w:color w:val="auto"/>
          <w:sz w:val="21"/>
          <w:szCs w:val="21"/>
          <w:highlight w:val="none"/>
        </w:rPr>
        <w:t>采购</w:t>
      </w:r>
      <w:r>
        <w:rPr>
          <w:rFonts w:asciiTheme="minorEastAsia" w:hAnsiTheme="minorEastAsia"/>
          <w:color w:val="auto"/>
          <w:sz w:val="21"/>
          <w:szCs w:val="21"/>
          <w:highlight w:val="none"/>
        </w:rPr>
        <w:t>采用的评标方法</w:t>
      </w:r>
      <w:r>
        <w:rPr>
          <w:rFonts w:hint="eastAsia" w:asciiTheme="minorEastAsia" w:hAnsiTheme="minorEastAsia"/>
          <w:color w:val="auto"/>
          <w:sz w:val="21"/>
          <w:szCs w:val="21"/>
          <w:highlight w:val="none"/>
        </w:rPr>
        <w:t>具体说明</w:t>
      </w:r>
      <w:r>
        <w:rPr>
          <w:rFonts w:asciiTheme="minorEastAsia" w:hAnsiTheme="minorEastAsia"/>
          <w:color w:val="auto"/>
          <w:sz w:val="21"/>
          <w:szCs w:val="21"/>
          <w:highlight w:val="none"/>
        </w:rPr>
        <w:t>载明在采购文件</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评标</w:t>
      </w:r>
      <w:r>
        <w:rPr>
          <w:rFonts w:hint="eastAsia" w:asciiTheme="minorEastAsia" w:hAnsiTheme="minorEastAsia"/>
          <w:color w:val="auto"/>
          <w:sz w:val="21"/>
          <w:szCs w:val="21"/>
          <w:highlight w:val="none"/>
        </w:rPr>
        <w:t>办法”</w:t>
      </w:r>
      <w:r>
        <w:rPr>
          <w:rFonts w:asciiTheme="minorEastAsia" w:hAnsiTheme="minorEastAsia"/>
          <w:color w:val="auto"/>
          <w:sz w:val="21"/>
          <w:szCs w:val="21"/>
          <w:highlight w:val="none"/>
        </w:rPr>
        <w:t>部分中。</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16.2</w:t>
      </w:r>
      <w:r>
        <w:rPr>
          <w:rFonts w:asciiTheme="minorEastAsia" w:hAnsiTheme="minorEastAsia"/>
          <w:color w:val="auto"/>
          <w:sz w:val="21"/>
          <w:szCs w:val="21"/>
          <w:highlight w:val="none"/>
        </w:rPr>
        <w:t>综合评分法：</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投标文件满足采购文件全部实质性要求，且按照评审因素的量化指标评审得分最高的投标人为中标候选人的评标方法。</w:t>
      </w:r>
    </w:p>
    <w:p>
      <w:pPr>
        <w:pStyle w:val="94"/>
        <w:spacing w:line="460" w:lineRule="exact"/>
        <w:ind w:left="0" w:leftChars="0" w:firstLine="0" w:firstLineChars="0"/>
        <w:rPr>
          <w:rFonts w:asciiTheme="minorEastAsia" w:hAnsiTheme="minorEastAsia"/>
          <w:b/>
          <w:color w:val="auto"/>
          <w:sz w:val="21"/>
          <w:szCs w:val="21"/>
          <w:highlight w:val="none"/>
        </w:rPr>
      </w:pPr>
      <w:bookmarkStart w:id="49" w:name="_Toc422996749"/>
      <w:bookmarkEnd w:id="49"/>
      <w:bookmarkStart w:id="50" w:name="_Toc422996750"/>
      <w:bookmarkEnd w:id="50"/>
      <w:bookmarkStart w:id="51" w:name="_Toc422996818"/>
      <w:bookmarkEnd w:id="51"/>
      <w:bookmarkStart w:id="52" w:name="_Toc422996819"/>
      <w:bookmarkEnd w:id="52"/>
      <w:bookmarkStart w:id="53" w:name="_Toc425780295"/>
      <w:bookmarkStart w:id="54" w:name="_Toc430790232"/>
      <w:bookmarkStart w:id="55" w:name="_Toc429407711"/>
      <w:bookmarkStart w:id="56" w:name="_Toc425151751"/>
      <w:r>
        <w:rPr>
          <w:rFonts w:hint="eastAsia" w:asciiTheme="minorEastAsia" w:hAnsiTheme="minorEastAsia"/>
          <w:b/>
          <w:color w:val="auto"/>
          <w:sz w:val="21"/>
          <w:szCs w:val="21"/>
          <w:highlight w:val="none"/>
        </w:rPr>
        <w:t>17、</w:t>
      </w:r>
      <w:r>
        <w:rPr>
          <w:rFonts w:asciiTheme="minorEastAsia" w:hAnsiTheme="minorEastAsia"/>
          <w:b/>
          <w:color w:val="auto"/>
          <w:sz w:val="21"/>
          <w:szCs w:val="21"/>
          <w:highlight w:val="none"/>
        </w:rPr>
        <w:t>评标程序和原则</w:t>
      </w:r>
      <w:bookmarkEnd w:id="53"/>
      <w:bookmarkEnd w:id="54"/>
      <w:bookmarkEnd w:id="55"/>
      <w:bookmarkEnd w:id="56"/>
    </w:p>
    <w:p>
      <w:pPr>
        <w:pStyle w:val="94"/>
        <w:spacing w:line="460" w:lineRule="exact"/>
        <w:ind w:left="0" w:leftChars="0" w:firstLine="420"/>
        <w:rPr>
          <w:rFonts w:asciiTheme="minorEastAsia" w:hAnsiTheme="minorEastAsia"/>
          <w:b/>
          <w:color w:val="auto"/>
          <w:sz w:val="21"/>
          <w:szCs w:val="21"/>
          <w:highlight w:val="none"/>
        </w:rPr>
      </w:pPr>
      <w:r>
        <w:rPr>
          <w:rFonts w:hint="eastAsia" w:asciiTheme="minorEastAsia" w:hAnsiTheme="minorEastAsia"/>
          <w:color w:val="auto"/>
          <w:sz w:val="21"/>
          <w:szCs w:val="21"/>
          <w:highlight w:val="none"/>
        </w:rPr>
        <w:t>17.1</w:t>
      </w:r>
      <w:r>
        <w:rPr>
          <w:rFonts w:asciiTheme="minorEastAsia" w:hAnsiTheme="minorEastAsia"/>
          <w:color w:val="auto"/>
          <w:sz w:val="21"/>
          <w:szCs w:val="21"/>
          <w:highlight w:val="none"/>
        </w:rPr>
        <w:t>评标程序：遵循初步审查、澄清有关问题、比较与评价、推荐中标候选人的程序依次进行。</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17.2</w:t>
      </w:r>
      <w:r>
        <w:rPr>
          <w:rFonts w:asciiTheme="minorEastAsia" w:hAnsiTheme="minorEastAsia"/>
          <w:color w:val="auto"/>
          <w:sz w:val="21"/>
          <w:szCs w:val="21"/>
          <w:highlight w:val="none"/>
        </w:rPr>
        <w:t>初步审查</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包含资格性审查和符合性审查。初步审查不合格者不进入澄清有关问题及后续的评标程序。</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w:t>
      </w:r>
      <w:r>
        <w:rPr>
          <w:rFonts w:asciiTheme="minorEastAsia" w:hAnsiTheme="minorEastAsia"/>
          <w:color w:val="auto"/>
          <w:sz w:val="21"/>
          <w:szCs w:val="21"/>
          <w:highlight w:val="none"/>
        </w:rPr>
        <w:t>）资格性审查：</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依据法律法规和采购文件的规定，</w:t>
      </w:r>
      <w:r>
        <w:rPr>
          <w:rFonts w:hint="eastAsia" w:asciiTheme="minorEastAsia" w:hAnsiTheme="minorEastAsia"/>
          <w:color w:val="auto"/>
          <w:sz w:val="21"/>
          <w:szCs w:val="21"/>
          <w:highlight w:val="none"/>
        </w:rPr>
        <w:t>采购人或采购代理机构</w:t>
      </w:r>
      <w:r>
        <w:rPr>
          <w:rFonts w:asciiTheme="minorEastAsia" w:hAnsiTheme="minorEastAsia"/>
          <w:color w:val="auto"/>
          <w:sz w:val="21"/>
          <w:szCs w:val="21"/>
          <w:highlight w:val="none"/>
        </w:rPr>
        <w:t>对其资格证明文件齐全性和有效性等方面进行审查，以确定投标人是否具备投标资格。</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w:t>
      </w:r>
      <w:r>
        <w:rPr>
          <w:rFonts w:asciiTheme="minorEastAsia" w:hAnsiTheme="minorEastAsia"/>
          <w:color w:val="auto"/>
          <w:sz w:val="21"/>
          <w:szCs w:val="21"/>
          <w:highlight w:val="none"/>
        </w:rPr>
        <w:t>符合性检查：</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依据采购文件的规定，</w:t>
      </w:r>
      <w:r>
        <w:rPr>
          <w:rFonts w:hint="eastAsia" w:asciiTheme="minorEastAsia" w:hAnsiTheme="minorEastAsia"/>
          <w:color w:val="auto"/>
          <w:sz w:val="21"/>
          <w:szCs w:val="21"/>
          <w:highlight w:val="none"/>
        </w:rPr>
        <w:t>评标委员会</w:t>
      </w:r>
      <w:r>
        <w:rPr>
          <w:rFonts w:asciiTheme="minorEastAsia" w:hAnsiTheme="minorEastAsia"/>
          <w:color w:val="auto"/>
          <w:sz w:val="21"/>
          <w:szCs w:val="21"/>
          <w:highlight w:val="none"/>
        </w:rPr>
        <w:t>从投标文件的有效性、完整性和对采购文件的响应程度进行审查，以确定是否对采购文件的要求作出实质性响应。</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17.3</w:t>
      </w:r>
      <w:r>
        <w:rPr>
          <w:rFonts w:asciiTheme="minorEastAsia" w:hAnsiTheme="minorEastAsia"/>
          <w:color w:val="auto"/>
          <w:sz w:val="21"/>
          <w:szCs w:val="21"/>
          <w:highlight w:val="none"/>
        </w:rPr>
        <w:t>澄清有关问题：按第</w:t>
      </w:r>
      <w:r>
        <w:rPr>
          <w:rFonts w:hint="eastAsia" w:asciiTheme="minorEastAsia" w:hAnsiTheme="minorEastAsia"/>
          <w:color w:val="auto"/>
          <w:sz w:val="21"/>
          <w:szCs w:val="21"/>
          <w:highlight w:val="none"/>
        </w:rPr>
        <w:t>15</w:t>
      </w:r>
      <w:r>
        <w:rPr>
          <w:rFonts w:asciiTheme="minorEastAsia" w:hAnsiTheme="minorEastAsia"/>
          <w:color w:val="auto"/>
          <w:sz w:val="21"/>
          <w:szCs w:val="21"/>
          <w:highlight w:val="none"/>
        </w:rPr>
        <w:t>条规定进行。</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17.4</w:t>
      </w:r>
      <w:r>
        <w:rPr>
          <w:rFonts w:asciiTheme="minorEastAsia" w:hAnsiTheme="minorEastAsia"/>
          <w:color w:val="auto"/>
          <w:sz w:val="21"/>
          <w:szCs w:val="21"/>
          <w:highlight w:val="none"/>
        </w:rPr>
        <w:t>比较与评价：</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w:t>
      </w:r>
      <w:r>
        <w:rPr>
          <w:rFonts w:asciiTheme="minorEastAsia" w:hAnsiTheme="minorEastAsia"/>
          <w:color w:val="auto"/>
          <w:sz w:val="21"/>
          <w:szCs w:val="21"/>
          <w:highlight w:val="none"/>
        </w:rPr>
        <w:t>技术</w:t>
      </w:r>
      <w:r>
        <w:rPr>
          <w:rFonts w:hint="eastAsia" w:asciiTheme="minorEastAsia" w:hAnsiTheme="minorEastAsia"/>
          <w:color w:val="auto"/>
          <w:sz w:val="21"/>
          <w:szCs w:val="21"/>
          <w:highlight w:val="none"/>
        </w:rPr>
        <w:t>商务</w:t>
      </w:r>
      <w:r>
        <w:rPr>
          <w:rFonts w:asciiTheme="minorEastAsia" w:hAnsiTheme="minorEastAsia"/>
          <w:color w:val="auto"/>
          <w:sz w:val="21"/>
          <w:szCs w:val="21"/>
          <w:highlight w:val="none"/>
        </w:rPr>
        <w:t>评价：按照采购文件的要求和</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评标</w:t>
      </w:r>
      <w:r>
        <w:rPr>
          <w:rFonts w:hint="eastAsia" w:asciiTheme="minorEastAsia" w:hAnsiTheme="minorEastAsia"/>
          <w:color w:val="auto"/>
          <w:sz w:val="21"/>
          <w:szCs w:val="21"/>
          <w:highlight w:val="none"/>
        </w:rPr>
        <w:t>标准》</w:t>
      </w:r>
      <w:r>
        <w:rPr>
          <w:rFonts w:asciiTheme="minorEastAsia" w:hAnsiTheme="minorEastAsia"/>
          <w:color w:val="auto"/>
          <w:sz w:val="21"/>
          <w:szCs w:val="21"/>
          <w:highlight w:val="none"/>
        </w:rPr>
        <w:t>对照投标文件的响应进行</w:t>
      </w:r>
      <w:r>
        <w:rPr>
          <w:rFonts w:hint="eastAsia" w:asciiTheme="minorEastAsia" w:hAnsiTheme="minorEastAsia"/>
          <w:color w:val="auto"/>
          <w:sz w:val="21"/>
          <w:szCs w:val="21"/>
          <w:highlight w:val="none"/>
        </w:rPr>
        <w:t>技术商务</w:t>
      </w:r>
      <w:r>
        <w:rPr>
          <w:rFonts w:asciiTheme="minorEastAsia" w:hAnsiTheme="minorEastAsia"/>
          <w:color w:val="auto"/>
          <w:sz w:val="21"/>
          <w:szCs w:val="21"/>
          <w:highlight w:val="none"/>
        </w:rPr>
        <w:t>评价，评定其偏差程度，并计算其相应的</w:t>
      </w:r>
      <w:r>
        <w:rPr>
          <w:rFonts w:hint="eastAsia" w:asciiTheme="minorEastAsia" w:hAnsiTheme="minorEastAsia"/>
          <w:color w:val="auto"/>
          <w:sz w:val="21"/>
          <w:szCs w:val="21"/>
          <w:highlight w:val="none"/>
        </w:rPr>
        <w:t>技术商务评分</w:t>
      </w:r>
      <w:r>
        <w:rPr>
          <w:rFonts w:asciiTheme="minorEastAsia" w:hAnsiTheme="minorEastAsia"/>
          <w:color w:val="auto"/>
          <w:sz w:val="21"/>
          <w:szCs w:val="21"/>
          <w:highlight w:val="none"/>
        </w:rPr>
        <w:t>分值。</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w:t>
      </w:r>
      <w:r>
        <w:rPr>
          <w:rFonts w:asciiTheme="minorEastAsia" w:hAnsiTheme="minorEastAsia"/>
          <w:color w:val="auto"/>
          <w:sz w:val="21"/>
          <w:szCs w:val="21"/>
          <w:highlight w:val="none"/>
        </w:rPr>
        <w:t>综合评价：对经过技术</w:t>
      </w:r>
      <w:r>
        <w:rPr>
          <w:rFonts w:hint="eastAsia" w:asciiTheme="minorEastAsia" w:hAnsiTheme="minorEastAsia"/>
          <w:color w:val="auto"/>
          <w:sz w:val="21"/>
          <w:szCs w:val="21"/>
          <w:highlight w:val="none"/>
        </w:rPr>
        <w:t>商务</w:t>
      </w:r>
      <w:r>
        <w:rPr>
          <w:rFonts w:asciiTheme="minorEastAsia" w:hAnsiTheme="minorEastAsia"/>
          <w:color w:val="auto"/>
          <w:sz w:val="21"/>
          <w:szCs w:val="21"/>
          <w:highlight w:val="none"/>
        </w:rPr>
        <w:t>评价的投标，按</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评标标准</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规定的评价办法进行综合评价，并按以下原则进行评审计算：</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综合评分法的</w:t>
      </w:r>
      <w:r>
        <w:rPr>
          <w:rFonts w:hint="eastAsia" w:asciiTheme="minorEastAsia" w:hAnsiTheme="minorEastAsia"/>
          <w:color w:val="auto"/>
          <w:sz w:val="21"/>
          <w:szCs w:val="21"/>
          <w:highlight w:val="none"/>
        </w:rPr>
        <w:t>最终</w:t>
      </w:r>
      <w:r>
        <w:rPr>
          <w:rFonts w:asciiTheme="minorEastAsia" w:hAnsiTheme="minorEastAsia"/>
          <w:color w:val="auto"/>
          <w:sz w:val="21"/>
          <w:szCs w:val="21"/>
          <w:highlight w:val="none"/>
        </w:rPr>
        <w:t>得分计算：综合得分=</w:t>
      </w:r>
      <w:r>
        <w:rPr>
          <w:rFonts w:hint="eastAsia" w:asciiTheme="minorEastAsia" w:hAnsiTheme="minorEastAsia"/>
          <w:color w:val="auto"/>
          <w:sz w:val="21"/>
          <w:szCs w:val="21"/>
          <w:highlight w:val="none"/>
        </w:rPr>
        <w:t>报价</w:t>
      </w:r>
      <w:r>
        <w:rPr>
          <w:rFonts w:asciiTheme="minorEastAsia" w:hAnsiTheme="minorEastAsia"/>
          <w:color w:val="auto"/>
          <w:sz w:val="21"/>
          <w:szCs w:val="21"/>
          <w:highlight w:val="none"/>
        </w:rPr>
        <w:t>得分+技术</w:t>
      </w:r>
      <w:r>
        <w:rPr>
          <w:rFonts w:hint="eastAsia" w:asciiTheme="minorEastAsia" w:hAnsiTheme="minorEastAsia"/>
          <w:color w:val="auto"/>
          <w:sz w:val="21"/>
          <w:szCs w:val="21"/>
          <w:highlight w:val="none"/>
        </w:rPr>
        <w:t>商务</w:t>
      </w:r>
      <w:r>
        <w:rPr>
          <w:rFonts w:asciiTheme="minorEastAsia" w:hAnsiTheme="minorEastAsia"/>
          <w:color w:val="auto"/>
          <w:sz w:val="21"/>
          <w:szCs w:val="21"/>
          <w:highlight w:val="none"/>
        </w:rPr>
        <w:t>评审得分</w:t>
      </w:r>
    </w:p>
    <w:p>
      <w:pPr>
        <w:pStyle w:val="94"/>
        <w:spacing w:line="460" w:lineRule="exact"/>
        <w:ind w:left="0" w:leftChars="0"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综合评价结束，按照上述第</w:t>
      </w:r>
      <w:r>
        <w:rPr>
          <w:rFonts w:hint="eastAsia" w:asciiTheme="minorEastAsia" w:hAnsiTheme="minorEastAsia"/>
          <w:color w:val="auto"/>
          <w:sz w:val="21"/>
          <w:szCs w:val="21"/>
          <w:highlight w:val="none"/>
        </w:rPr>
        <w:t>16</w:t>
      </w:r>
      <w:r>
        <w:rPr>
          <w:rFonts w:asciiTheme="minorEastAsia" w:hAnsiTheme="minorEastAsia"/>
          <w:color w:val="auto"/>
          <w:sz w:val="21"/>
          <w:szCs w:val="21"/>
          <w:highlight w:val="none"/>
        </w:rPr>
        <w:t>条规定，列出进入最终评审各投标</w:t>
      </w:r>
      <w:r>
        <w:rPr>
          <w:rFonts w:hint="eastAsia" w:asciiTheme="minorEastAsia" w:hAnsiTheme="minorEastAsia"/>
          <w:color w:val="auto"/>
          <w:sz w:val="21"/>
          <w:szCs w:val="21"/>
          <w:highlight w:val="none"/>
        </w:rPr>
        <w:t>人</w:t>
      </w:r>
      <w:r>
        <w:rPr>
          <w:rFonts w:asciiTheme="minorEastAsia" w:hAnsiTheme="minorEastAsia"/>
          <w:color w:val="auto"/>
          <w:sz w:val="21"/>
          <w:szCs w:val="21"/>
          <w:highlight w:val="none"/>
        </w:rPr>
        <w:t>排序次序。</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17.5</w:t>
      </w:r>
      <w:r>
        <w:rPr>
          <w:rFonts w:asciiTheme="minorEastAsia" w:hAnsiTheme="minorEastAsia"/>
          <w:color w:val="auto"/>
          <w:sz w:val="21"/>
          <w:szCs w:val="21"/>
          <w:highlight w:val="none"/>
        </w:rPr>
        <w:t>推荐中标</w:t>
      </w:r>
      <w:r>
        <w:rPr>
          <w:rFonts w:hint="eastAsia" w:asciiTheme="minorEastAsia" w:hAnsiTheme="minorEastAsia"/>
          <w:color w:val="auto"/>
          <w:sz w:val="21"/>
          <w:szCs w:val="21"/>
          <w:highlight w:val="none"/>
        </w:rPr>
        <w:t>候选人</w:t>
      </w:r>
      <w:r>
        <w:rPr>
          <w:rFonts w:asciiTheme="minorEastAsia" w:hAnsiTheme="minorEastAsia"/>
          <w:color w:val="auto"/>
          <w:sz w:val="21"/>
          <w:szCs w:val="21"/>
          <w:highlight w:val="none"/>
        </w:rPr>
        <w:t>：按</w:t>
      </w:r>
      <w:r>
        <w:rPr>
          <w:rFonts w:hint="eastAsia" w:asciiTheme="minorEastAsia" w:hAnsiTheme="minorEastAsia"/>
          <w:color w:val="auto"/>
          <w:sz w:val="21"/>
          <w:szCs w:val="21"/>
          <w:highlight w:val="none"/>
        </w:rPr>
        <w:t>18</w:t>
      </w:r>
      <w:r>
        <w:rPr>
          <w:rFonts w:asciiTheme="minorEastAsia" w:hAnsiTheme="minorEastAsia"/>
          <w:color w:val="auto"/>
          <w:sz w:val="21"/>
          <w:szCs w:val="21"/>
          <w:highlight w:val="none"/>
        </w:rPr>
        <w:t>条规定推荐中标</w:t>
      </w:r>
      <w:r>
        <w:rPr>
          <w:rFonts w:hint="eastAsia" w:asciiTheme="minorEastAsia" w:hAnsiTheme="minorEastAsia"/>
          <w:color w:val="auto"/>
          <w:sz w:val="21"/>
          <w:szCs w:val="21"/>
          <w:highlight w:val="none"/>
        </w:rPr>
        <w:t>候选人</w:t>
      </w:r>
      <w:r>
        <w:rPr>
          <w:rFonts w:asciiTheme="minorEastAsia" w:hAnsiTheme="minorEastAsia"/>
          <w:color w:val="auto"/>
          <w:sz w:val="21"/>
          <w:szCs w:val="21"/>
          <w:highlight w:val="none"/>
        </w:rPr>
        <w:t>。</w:t>
      </w:r>
    </w:p>
    <w:p>
      <w:pPr>
        <w:pStyle w:val="94"/>
        <w:spacing w:line="460" w:lineRule="exact"/>
        <w:ind w:left="0" w:leftChars="0" w:firstLine="0" w:firstLineChars="0"/>
        <w:rPr>
          <w:rFonts w:asciiTheme="minorEastAsia" w:hAnsiTheme="minorEastAsia"/>
          <w:b/>
          <w:color w:val="auto"/>
          <w:sz w:val="21"/>
          <w:szCs w:val="21"/>
          <w:highlight w:val="none"/>
        </w:rPr>
      </w:pPr>
      <w:bookmarkStart w:id="57" w:name="_Toc425780296"/>
      <w:bookmarkStart w:id="58" w:name="_Toc429407712"/>
      <w:bookmarkStart w:id="59" w:name="_Toc430790233"/>
      <w:bookmarkStart w:id="60" w:name="_Toc425151752"/>
      <w:r>
        <w:rPr>
          <w:rFonts w:hint="eastAsia" w:asciiTheme="minorEastAsia" w:hAnsiTheme="minorEastAsia"/>
          <w:b/>
          <w:color w:val="auto"/>
          <w:sz w:val="21"/>
          <w:szCs w:val="21"/>
          <w:highlight w:val="none"/>
        </w:rPr>
        <w:t>18、</w:t>
      </w:r>
      <w:r>
        <w:rPr>
          <w:rFonts w:asciiTheme="minorEastAsia" w:hAnsiTheme="minorEastAsia"/>
          <w:b/>
          <w:color w:val="auto"/>
          <w:sz w:val="21"/>
          <w:szCs w:val="21"/>
          <w:highlight w:val="none"/>
        </w:rPr>
        <w:t>推荐中标</w:t>
      </w:r>
      <w:r>
        <w:rPr>
          <w:rFonts w:hint="eastAsia" w:asciiTheme="minorEastAsia" w:hAnsiTheme="minorEastAsia"/>
          <w:b/>
          <w:color w:val="auto"/>
          <w:sz w:val="21"/>
          <w:szCs w:val="21"/>
          <w:highlight w:val="none"/>
        </w:rPr>
        <w:t>候选人</w:t>
      </w:r>
      <w:bookmarkEnd w:id="57"/>
      <w:bookmarkEnd w:id="58"/>
      <w:bookmarkEnd w:id="59"/>
      <w:bookmarkEnd w:id="60"/>
    </w:p>
    <w:p>
      <w:pPr>
        <w:pStyle w:val="94"/>
        <w:spacing w:line="460" w:lineRule="exact"/>
        <w:ind w:left="0" w:leftChars="0" w:firstLine="310" w:firstLineChars="147"/>
        <w:rPr>
          <w:rFonts w:hint="eastAsia" w:asciiTheme="minorEastAsia" w:hAnsiTheme="minorEastAsia"/>
          <w:b/>
          <w:color w:val="auto"/>
          <w:sz w:val="21"/>
          <w:szCs w:val="21"/>
          <w:highlight w:val="none"/>
        </w:rPr>
      </w:pPr>
      <w:bookmarkStart w:id="61" w:name="_Toc430790234"/>
      <w:bookmarkStart w:id="62" w:name="_Toc425151753"/>
      <w:bookmarkStart w:id="63" w:name="_Toc425780297"/>
      <w:bookmarkStart w:id="64" w:name="_Toc429407713"/>
      <w:r>
        <w:rPr>
          <w:rFonts w:hint="eastAsia" w:asciiTheme="minorEastAsia" w:hAnsiTheme="minorEastAsia"/>
          <w:b/>
          <w:color w:val="auto"/>
          <w:sz w:val="21"/>
          <w:szCs w:val="21"/>
          <w:highlight w:val="none"/>
        </w:rPr>
        <w:t>在最大限度地满足招标文件实质性要求前提下，评标委员会按照招标文件中规定的各项因素进行综合评审后，推荐二名合格的中标候选人，并按评标报告推荐的顺序确定排名第一的中标候选人为中标人。</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19、</w:t>
      </w:r>
      <w:bookmarkEnd w:id="61"/>
      <w:bookmarkEnd w:id="62"/>
      <w:bookmarkEnd w:id="63"/>
      <w:bookmarkEnd w:id="64"/>
      <w:r>
        <w:rPr>
          <w:rFonts w:asciiTheme="minorEastAsia" w:hAnsiTheme="minorEastAsia"/>
          <w:b/>
          <w:color w:val="auto"/>
          <w:sz w:val="21"/>
          <w:szCs w:val="21"/>
          <w:highlight w:val="none"/>
        </w:rPr>
        <w:t>采购方式</w:t>
      </w:r>
      <w:r>
        <w:rPr>
          <w:rFonts w:hint="eastAsia" w:asciiTheme="minorEastAsia" w:hAnsiTheme="minorEastAsia"/>
          <w:b/>
          <w:color w:val="auto"/>
          <w:sz w:val="21"/>
          <w:szCs w:val="21"/>
          <w:highlight w:val="none"/>
        </w:rPr>
        <w:t>转换</w:t>
      </w:r>
    </w:p>
    <w:p>
      <w:pPr>
        <w:pStyle w:val="94"/>
        <w:spacing w:line="460" w:lineRule="exact"/>
        <w:ind w:left="0" w:leftChars="0" w:firstLine="525" w:firstLineChars="2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公开招标数额标准以上的采购项目，投标截止后投标人不足3家或者通过资格审查或符合性审查的投标人不足3家的，除采购任务取消情形外，按照以下方式处理： </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19.1采购文件存在不合理条款或者招标程序不符合规定的，采购人、采购代理机构改正后依法重新招标； </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19.2采购文件没有不合理条款、招标程序符合规定，需要采用其他采购方式采购的，采购人依法报财政部门批准。 </w:t>
      </w:r>
    </w:p>
    <w:p>
      <w:pPr>
        <w:pStyle w:val="94"/>
        <w:spacing w:line="460" w:lineRule="exact"/>
        <w:ind w:left="0" w:leftChars="0" w:firstLine="0" w:firstLineChars="0"/>
        <w:rPr>
          <w:rFonts w:asciiTheme="minorEastAsia" w:hAnsiTheme="minorEastAsia"/>
          <w:b/>
          <w:color w:val="auto"/>
          <w:sz w:val="21"/>
          <w:szCs w:val="21"/>
          <w:highlight w:val="none"/>
        </w:rPr>
      </w:pPr>
      <w:bookmarkStart w:id="65" w:name="_Toc430790235"/>
      <w:bookmarkStart w:id="66" w:name="_Toc425780298"/>
      <w:bookmarkStart w:id="67" w:name="_Toc429407714"/>
      <w:bookmarkStart w:id="68" w:name="_Toc425151754"/>
      <w:r>
        <w:rPr>
          <w:rFonts w:hint="eastAsia" w:asciiTheme="minorEastAsia" w:hAnsiTheme="minorEastAsia"/>
          <w:b/>
          <w:color w:val="auto"/>
          <w:sz w:val="21"/>
          <w:szCs w:val="21"/>
          <w:highlight w:val="none"/>
        </w:rPr>
        <w:t>20、</w:t>
      </w:r>
      <w:bookmarkEnd w:id="65"/>
      <w:bookmarkEnd w:id="66"/>
      <w:bookmarkEnd w:id="67"/>
      <w:bookmarkEnd w:id="68"/>
      <w:r>
        <w:rPr>
          <w:rFonts w:hint="eastAsia" w:asciiTheme="minorEastAsia" w:hAnsiTheme="minorEastAsia"/>
          <w:b/>
          <w:color w:val="auto"/>
          <w:sz w:val="21"/>
          <w:szCs w:val="21"/>
          <w:highlight w:val="none"/>
        </w:rPr>
        <w:t>评标过程的监控与保密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20.1本项目评标过程实行全程录音、录像监控，投标人在评标过程中所进行的试图影响评标结果的不公正活动，可能导致其投标被拒绝。</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20.2开标后到中标通知书发出之前，所有涉及评标委员会名单以及对投标文件的澄清、评价、比较等情况，评标委员会成员、采购人和采购代理机构的有关人员均不得向投标人或其他无关人员透露。</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21、确定中标人、评标结果公示与质疑</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21.1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21.2代理机构自中标人确定之日起2个工作日内，在发布采购公告的网站上对中标结果进行公示，中标结果公告期限为1个工作日。如果中标人自动放弃中标资格或因质疑或是投诉被取消中标资格的，可视情况报经财政部门同意后，按本次评标供应商得分排序结果依次替补或重新组织。</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21.3投标人若对评标结果有异议，可在中标公告期限届满之日起七个工作日内向采购人提出书面质疑，质疑书应该有质疑人名称、地址、公章、法定代表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六、无效投标认定</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22、实质上没有响应采购文件要求的投标将被视为无效投标。</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22.1在资格审查时，不具备采购文件中规定的资格要求的，或者资格证明文件不全的，投标文件将被视为无效。</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22.2</w:t>
      </w:r>
      <w:r>
        <w:rPr>
          <w:rFonts w:asciiTheme="minorEastAsia" w:hAnsiTheme="minorEastAsia"/>
          <w:color w:val="auto"/>
          <w:sz w:val="21"/>
          <w:szCs w:val="21"/>
          <w:highlight w:val="none"/>
        </w:rPr>
        <w:t>在符合性审查时，如发现下列情形之一的，投标文件将被视为无效：</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（1）投标文件未按采购文件要求签署、签章的；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（2）投标有效期不满足采购文件要求的；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（3）明显不符合采购文件要求的，或者与采购文件中标注“▲”的条款发生实质性偏离的；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（4）投标文件中含有采购人不能接受的附加条件的；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（5）投标声明书无法定代表人签名，或委托人未提供法定代表人授权委托书、填写项目不齐全的；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（6）投标文件格式不规范、提供资料不齐全或者内容虚假的；</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（7）投标文件的实质性内容未使用中文表述、表述不明确、前后矛盾或者使用计量单位不符合采购文要求的（经评标委员会认定并允许其更正的笔误除外）；</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 xml:space="preserve">（8）投标文件的关键内容字迹模糊、无法辨认的，或者投标文件中经修正的内容字迹模糊难以辨认或者修改处未按规定签署、盖章的； </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（9）法律、法规和采购文件规定的其他无效情形。</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22.3在技术商务评审时，如发现下列情形之一的，</w:t>
      </w:r>
      <w:r>
        <w:rPr>
          <w:rFonts w:asciiTheme="minorEastAsia" w:hAnsiTheme="minorEastAsia"/>
          <w:color w:val="auto"/>
          <w:sz w:val="21"/>
          <w:szCs w:val="21"/>
          <w:highlight w:val="none"/>
        </w:rPr>
        <w:t>投标文件将被视为无效：</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（1）</w:t>
      </w:r>
      <w:r>
        <w:rPr>
          <w:rFonts w:hint="eastAsia" w:cs="宋体" w:asciiTheme="minorEastAsia" w:hAnsiTheme="minorEastAsia"/>
          <w:color w:val="auto"/>
          <w:sz w:val="21"/>
          <w:szCs w:val="21"/>
          <w:highlight w:val="none"/>
        </w:rPr>
        <w:t>未提供或未如实提供投标货物的技术参数，或者投标文件标明的响应或偏离与事实不符或虚假投标的</w:t>
      </w:r>
      <w:r>
        <w:rPr>
          <w:rFonts w:cs="宋体" w:asciiTheme="minorEastAsia" w:hAnsiTheme="minorEastAsia"/>
          <w:color w:val="auto"/>
          <w:sz w:val="21"/>
          <w:szCs w:val="21"/>
          <w:highlight w:val="none"/>
        </w:rPr>
        <w:t>；</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2</w:t>
      </w: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明显不符合采购文件要求的规格型号、质量标准</w:t>
      </w:r>
      <w:r>
        <w:rPr>
          <w:rFonts w:cs="宋体" w:asciiTheme="minorEastAsia" w:hAnsiTheme="minorEastAsia"/>
          <w:color w:val="auto"/>
          <w:sz w:val="21"/>
          <w:szCs w:val="21"/>
          <w:highlight w:val="none"/>
        </w:rPr>
        <w:t>；</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（3）投标技术方案不明确，存在一个或一个以上备选（替代）投标方案的。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（4）标</w:t>
      </w: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w:t>
      </w:r>
      <w:r>
        <w:rPr>
          <w:rFonts w:cs="宋体" w:asciiTheme="minorEastAsia" w:hAnsiTheme="minorEastAsia"/>
          <w:color w:val="auto"/>
          <w:sz w:val="21"/>
          <w:szCs w:val="21"/>
          <w:highlight w:val="none"/>
        </w:rPr>
        <w:t>”</w:t>
      </w:r>
      <w:r>
        <w:rPr>
          <w:rFonts w:hint="eastAsia" w:cs="宋体" w:asciiTheme="minorEastAsia" w:hAnsiTheme="minorEastAsia"/>
          <w:color w:val="auto"/>
          <w:sz w:val="21"/>
          <w:szCs w:val="21"/>
          <w:highlight w:val="none"/>
        </w:rPr>
        <w:t>主要性能参数指标负偏离项（含）</w:t>
      </w:r>
      <w:r>
        <w:rPr>
          <w:rFonts w:cs="宋体" w:asciiTheme="minorEastAsia" w:hAnsiTheme="minorEastAsia"/>
          <w:color w:val="auto"/>
          <w:sz w:val="21"/>
          <w:szCs w:val="21"/>
          <w:highlight w:val="none"/>
        </w:rPr>
        <w:t>6</w:t>
      </w:r>
      <w:r>
        <w:rPr>
          <w:rFonts w:hint="eastAsia" w:cs="宋体" w:asciiTheme="minorEastAsia" w:hAnsiTheme="minorEastAsia"/>
          <w:color w:val="auto"/>
          <w:sz w:val="21"/>
          <w:szCs w:val="21"/>
          <w:highlight w:val="none"/>
        </w:rPr>
        <w:t>及以上的，作无效标处理</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22.4</w:t>
      </w:r>
      <w:r>
        <w:rPr>
          <w:rFonts w:asciiTheme="minorEastAsia" w:hAnsiTheme="minorEastAsia"/>
          <w:color w:val="auto"/>
          <w:sz w:val="21"/>
          <w:szCs w:val="21"/>
          <w:highlight w:val="none"/>
        </w:rPr>
        <w:t>在报价评审时，如发现下列情形之一的，投标文件将被视为无效：</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（1）</w:t>
      </w:r>
      <w:r>
        <w:rPr>
          <w:rFonts w:hint="eastAsia" w:cs="宋体" w:asciiTheme="minorEastAsia" w:hAnsiTheme="minorEastAsia"/>
          <w:bCs/>
          <w:color w:val="auto"/>
          <w:sz w:val="21"/>
          <w:szCs w:val="21"/>
          <w:highlight w:val="none"/>
        </w:rPr>
        <w:t>报价超过采购文件中规定的预算金额或者最高限价的</w:t>
      </w:r>
      <w:r>
        <w:rPr>
          <w:rFonts w:cs="宋体" w:asciiTheme="minorEastAsia" w:hAnsiTheme="minorEastAsia"/>
          <w:color w:val="auto"/>
          <w:sz w:val="21"/>
          <w:szCs w:val="21"/>
          <w:highlight w:val="none"/>
        </w:rPr>
        <w:t>；</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cs="宋体" w:asciiTheme="minorEastAsia" w:hAnsiTheme="minorEastAsia"/>
          <w:color w:val="auto"/>
          <w:sz w:val="21"/>
          <w:szCs w:val="21"/>
          <w:highlight w:val="none"/>
        </w:rPr>
        <w:t>（2）</w:t>
      </w:r>
      <w:r>
        <w:rPr>
          <w:rFonts w:hint="eastAsia" w:cs="宋体" w:asciiTheme="minorEastAsia" w:hAnsiTheme="minorEastAsia"/>
          <w:bCs/>
          <w:color w:val="auto"/>
          <w:sz w:val="21"/>
          <w:szCs w:val="21"/>
          <w:highlight w:val="none"/>
        </w:rPr>
        <w:t>未采用采购文件要求的报价形式报价的</w:t>
      </w:r>
      <w:r>
        <w:rPr>
          <w:rFonts w:hint="eastAsia" w:cs="宋体" w:asciiTheme="minorEastAsia" w:hAnsiTheme="minorEastAsia"/>
          <w:color w:val="auto"/>
          <w:sz w:val="21"/>
          <w:szCs w:val="21"/>
          <w:highlight w:val="none"/>
        </w:rPr>
        <w:t>；</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（3）投标报价具有选择性的；</w:t>
      </w:r>
    </w:p>
    <w:p>
      <w:pPr>
        <w:pStyle w:val="94"/>
        <w:spacing w:line="460" w:lineRule="exact"/>
        <w:ind w:left="0" w:leftChars="0" w:firstLine="315" w:firstLineChars="15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（4）投标人的报价明显低于其他通过符合性审查供应商的报价，评标委员会认为有可能影响产品质量或者不能诚信履约要求其在评标</w:t>
      </w:r>
      <w:r>
        <w:rPr>
          <w:rFonts w:cs="宋体" w:asciiTheme="minorEastAsia" w:hAnsiTheme="minorEastAsia"/>
          <w:color w:val="auto"/>
          <w:sz w:val="21"/>
          <w:szCs w:val="21"/>
          <w:highlight w:val="none"/>
        </w:rPr>
        <w:t>现场</w:t>
      </w:r>
      <w:r>
        <w:rPr>
          <w:rFonts w:hint="eastAsia" w:cs="宋体" w:asciiTheme="minorEastAsia" w:hAnsiTheme="minorEastAsia"/>
          <w:color w:val="auto"/>
          <w:sz w:val="21"/>
          <w:szCs w:val="21"/>
          <w:highlight w:val="none"/>
        </w:rPr>
        <w:t>合理的时间内提供书面说明，必要时提交相关证明材料，投标人不能证明其报价合理性的；</w:t>
      </w:r>
    </w:p>
    <w:p>
      <w:pPr>
        <w:pStyle w:val="94"/>
        <w:spacing w:line="460" w:lineRule="exact"/>
        <w:ind w:left="0" w:leftChars="0" w:firstLine="420"/>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（5）</w:t>
      </w:r>
      <w:r>
        <w:rPr>
          <w:rFonts w:hint="eastAsia" w:cs="宋体" w:asciiTheme="minorEastAsia" w:hAnsiTheme="minorEastAsia"/>
          <w:bCs/>
          <w:color w:val="auto"/>
          <w:sz w:val="21"/>
          <w:szCs w:val="21"/>
          <w:highlight w:val="none"/>
        </w:rPr>
        <w:t>采购文件规定的其他无效情形。</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22.5</w:t>
      </w:r>
      <w:r>
        <w:rPr>
          <w:rFonts w:asciiTheme="minorEastAsia" w:hAnsiTheme="minorEastAsia"/>
          <w:color w:val="auto"/>
          <w:sz w:val="21"/>
          <w:szCs w:val="21"/>
          <w:highlight w:val="none"/>
        </w:rPr>
        <w:t>被拒绝的投标文件为无效。</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七、合同签订及其他</w:t>
      </w:r>
    </w:p>
    <w:p>
      <w:pPr>
        <w:pStyle w:val="94"/>
        <w:spacing w:line="460" w:lineRule="exact"/>
        <w:ind w:left="0" w:leftChars="0" w:firstLine="0" w:firstLineChars="0"/>
        <w:jc w:val="left"/>
        <w:rPr>
          <w:rFonts w:asciiTheme="minorEastAsia" w:hAnsiTheme="minorEastAsia"/>
          <w:b/>
          <w:color w:val="auto"/>
          <w:sz w:val="21"/>
          <w:szCs w:val="21"/>
          <w:highlight w:val="none"/>
        </w:rPr>
      </w:pPr>
      <w:bookmarkStart w:id="69" w:name="_Toc425151761"/>
      <w:bookmarkStart w:id="70" w:name="_Toc429407721"/>
      <w:bookmarkStart w:id="71" w:name="_Toc425780305"/>
      <w:bookmarkStart w:id="72" w:name="_Toc430790242"/>
      <w:r>
        <w:rPr>
          <w:rFonts w:hint="eastAsia" w:asciiTheme="minorEastAsia" w:hAnsiTheme="minorEastAsia"/>
          <w:b/>
          <w:color w:val="auto"/>
          <w:sz w:val="21"/>
          <w:szCs w:val="21"/>
          <w:highlight w:val="none"/>
        </w:rPr>
        <w:t>23、</w:t>
      </w:r>
      <w:r>
        <w:rPr>
          <w:rFonts w:asciiTheme="minorEastAsia" w:hAnsiTheme="minorEastAsia"/>
          <w:b/>
          <w:color w:val="auto"/>
          <w:sz w:val="21"/>
          <w:szCs w:val="21"/>
          <w:highlight w:val="none"/>
        </w:rPr>
        <w:t>签订合同</w:t>
      </w:r>
      <w:bookmarkEnd w:id="69"/>
      <w:bookmarkEnd w:id="70"/>
      <w:bookmarkEnd w:id="71"/>
      <w:bookmarkEnd w:id="72"/>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23.1</w:t>
      </w:r>
      <w:r>
        <w:rPr>
          <w:rFonts w:asciiTheme="minorEastAsia" w:hAnsiTheme="minorEastAsia"/>
          <w:color w:val="auto"/>
          <w:sz w:val="21"/>
          <w:szCs w:val="21"/>
          <w:highlight w:val="none"/>
        </w:rPr>
        <w:t>中标</w:t>
      </w:r>
      <w:r>
        <w:rPr>
          <w:rFonts w:hint="eastAsia" w:asciiTheme="minorEastAsia" w:hAnsiTheme="minorEastAsia"/>
          <w:color w:val="auto"/>
          <w:sz w:val="21"/>
          <w:szCs w:val="21"/>
          <w:highlight w:val="none"/>
        </w:rPr>
        <w:t>人</w:t>
      </w:r>
      <w:r>
        <w:rPr>
          <w:rFonts w:asciiTheme="minorEastAsia" w:hAnsiTheme="minorEastAsia"/>
          <w:color w:val="auto"/>
          <w:sz w:val="21"/>
          <w:szCs w:val="21"/>
          <w:highlight w:val="none"/>
        </w:rPr>
        <w:t>在本采购代理机构发出中标通知书的</w:t>
      </w:r>
      <w:r>
        <w:rPr>
          <w:rFonts w:hint="eastAsia" w:asciiTheme="minorEastAsia" w:hAnsiTheme="minorEastAsia"/>
          <w:color w:val="auto"/>
          <w:sz w:val="21"/>
          <w:szCs w:val="21"/>
          <w:highlight w:val="none"/>
        </w:rPr>
        <w:t>30</w:t>
      </w:r>
      <w:r>
        <w:rPr>
          <w:rFonts w:asciiTheme="minorEastAsia" w:hAnsiTheme="minorEastAsia"/>
          <w:color w:val="auto"/>
          <w:sz w:val="21"/>
          <w:szCs w:val="21"/>
          <w:highlight w:val="none"/>
        </w:rPr>
        <w:t>日内，应与采购人按照采购文件和中标</w:t>
      </w:r>
      <w:r>
        <w:rPr>
          <w:rFonts w:hint="eastAsia" w:asciiTheme="minorEastAsia" w:hAnsiTheme="minorEastAsia"/>
          <w:color w:val="auto"/>
          <w:sz w:val="21"/>
          <w:szCs w:val="21"/>
          <w:highlight w:val="none"/>
        </w:rPr>
        <w:t>人</w:t>
      </w:r>
      <w:r>
        <w:rPr>
          <w:rFonts w:asciiTheme="minorEastAsia" w:hAnsiTheme="minorEastAsia"/>
          <w:color w:val="auto"/>
          <w:sz w:val="21"/>
          <w:szCs w:val="21"/>
          <w:highlight w:val="none"/>
        </w:rPr>
        <w:t>的投标文件的约定内容签订书面合同。</w:t>
      </w:r>
      <w:r>
        <w:rPr>
          <w:rFonts w:hint="eastAsia" w:asciiTheme="minorEastAsia" w:hAnsiTheme="minorEastAsia"/>
          <w:color w:val="auto"/>
          <w:sz w:val="21"/>
          <w:szCs w:val="21"/>
          <w:highlight w:val="none"/>
        </w:rPr>
        <w:t>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23.2</w:t>
      </w:r>
      <w:r>
        <w:rPr>
          <w:rFonts w:asciiTheme="minorEastAsia" w:hAnsiTheme="minorEastAsia"/>
          <w:color w:val="auto"/>
          <w:sz w:val="21"/>
          <w:szCs w:val="21"/>
          <w:highlight w:val="none"/>
        </w:rPr>
        <w:t>采购文件、中标</w:t>
      </w:r>
      <w:r>
        <w:rPr>
          <w:rFonts w:hint="eastAsia" w:asciiTheme="minorEastAsia" w:hAnsiTheme="minorEastAsia"/>
          <w:color w:val="auto"/>
          <w:sz w:val="21"/>
          <w:szCs w:val="21"/>
          <w:highlight w:val="none"/>
        </w:rPr>
        <w:t>人</w:t>
      </w:r>
      <w:r>
        <w:rPr>
          <w:rFonts w:asciiTheme="minorEastAsia" w:hAnsiTheme="minorEastAsia"/>
          <w:color w:val="auto"/>
          <w:sz w:val="21"/>
          <w:szCs w:val="21"/>
          <w:highlight w:val="none"/>
        </w:rPr>
        <w:t>的投标文件及在评标过程中提交的澄清文件均应作为合同附件。</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23.3采购人应当自政府采购合同签订之日起2个工作日内，在省级以上财政部门指定的政府采购信息发布媒体及相关网站上公告。</w:t>
      </w:r>
    </w:p>
    <w:p>
      <w:pPr>
        <w:pStyle w:val="94"/>
        <w:spacing w:line="460" w:lineRule="exact"/>
        <w:ind w:left="0" w:leftChars="0" w:firstLine="0" w:firstLineChars="0"/>
        <w:jc w:val="left"/>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24、</w:t>
      </w:r>
      <w:r>
        <w:rPr>
          <w:rFonts w:asciiTheme="minorEastAsia" w:hAnsiTheme="minorEastAsia"/>
          <w:b/>
          <w:color w:val="auto"/>
          <w:sz w:val="21"/>
          <w:szCs w:val="21"/>
          <w:highlight w:val="none"/>
        </w:rPr>
        <w:t>履约保证金</w:t>
      </w:r>
      <w:r>
        <w:rPr>
          <w:rFonts w:hint="eastAsia" w:asciiTheme="minorEastAsia" w:hAnsiTheme="minorEastAsia"/>
          <w:b/>
          <w:color w:val="auto"/>
          <w:sz w:val="21"/>
          <w:szCs w:val="21"/>
          <w:highlight w:val="none"/>
        </w:rPr>
        <w:t>（如有）</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24.1</w:t>
      </w:r>
      <w:r>
        <w:rPr>
          <w:rFonts w:asciiTheme="minorEastAsia" w:hAnsiTheme="minorEastAsia"/>
          <w:color w:val="auto"/>
          <w:sz w:val="21"/>
          <w:szCs w:val="21"/>
          <w:highlight w:val="none"/>
        </w:rPr>
        <w:t>签订合同</w:t>
      </w:r>
      <w:r>
        <w:rPr>
          <w:rFonts w:hint="eastAsia" w:asciiTheme="minorEastAsia" w:hAnsiTheme="minorEastAsia"/>
          <w:color w:val="auto"/>
          <w:sz w:val="21"/>
          <w:szCs w:val="21"/>
          <w:highlight w:val="none"/>
        </w:rPr>
        <w:t>后</w:t>
      </w:r>
      <w:r>
        <w:rPr>
          <w:rFonts w:asciiTheme="minorEastAsia" w:hAnsiTheme="minorEastAsia"/>
          <w:color w:val="auto"/>
          <w:sz w:val="21"/>
          <w:szCs w:val="21"/>
          <w:highlight w:val="none"/>
        </w:rPr>
        <w:t>，中标人应根据采购文件确定的履约保证金的金额交纳履约保证金。</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24.2</w:t>
      </w:r>
      <w:r>
        <w:rPr>
          <w:rFonts w:asciiTheme="minorEastAsia" w:hAnsiTheme="minorEastAsia"/>
          <w:color w:val="auto"/>
          <w:sz w:val="21"/>
          <w:szCs w:val="21"/>
          <w:highlight w:val="none"/>
        </w:rPr>
        <w:t>签订合同后，如中标人不按双方合同约定履约，则没收其全部履约保证金，履约保证金不足以赔偿损失的，按实际损失赔偿。</w:t>
      </w:r>
    </w:p>
    <w:p>
      <w:pPr>
        <w:pStyle w:val="94"/>
        <w:spacing w:line="460" w:lineRule="exact"/>
        <w:ind w:left="0" w:leftChars="0" w:firstLine="420"/>
        <w:jc w:val="left"/>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24.3采购人负责对中标人的履约行为进行验收，验收标准为本项目的采购文件以及中标人的投标文件，要求验收必须符合相关政策法规和地方标准。</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八、履约验收</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25、采购人负责对中标供应商的履约行为进行验收。政府向社会公众提供的公共服务项目，验收时应当邀请服务对象参与并出具意见，验收结果应当向社会公告。</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九、代理服务费</w:t>
      </w:r>
    </w:p>
    <w:p>
      <w:pPr>
        <w:spacing w:line="360" w:lineRule="auto"/>
        <w:contextualSpacing/>
        <w:rPr>
          <w:b/>
          <w:color w:val="auto"/>
          <w:szCs w:val="21"/>
          <w:highlight w:val="none"/>
        </w:rPr>
      </w:pPr>
      <w:r>
        <w:rPr>
          <w:rFonts w:hint="eastAsia" w:asciiTheme="minorEastAsia" w:hAnsiTheme="minorEastAsia"/>
          <w:b/>
          <w:color w:val="auto"/>
          <w:szCs w:val="21"/>
          <w:highlight w:val="none"/>
        </w:rPr>
        <w:t>26、</w:t>
      </w:r>
      <w:r>
        <w:rPr>
          <w:rFonts w:hint="eastAsia"/>
          <w:b/>
          <w:color w:val="auto"/>
          <w:szCs w:val="21"/>
          <w:highlight w:val="none"/>
        </w:rPr>
        <w:t>代理服务费</w:t>
      </w:r>
    </w:p>
    <w:p>
      <w:pPr>
        <w:spacing w:line="360" w:lineRule="auto"/>
        <w:ind w:firstLine="420" w:firstLineChars="200"/>
        <w:contextualSpacing/>
        <w:jc w:val="left"/>
        <w:rPr>
          <w:color w:val="auto"/>
          <w:sz w:val="24"/>
          <w:highlight w:val="none"/>
        </w:rPr>
      </w:pPr>
      <w:r>
        <w:rPr>
          <w:rFonts w:hint="eastAsia"/>
          <w:color w:val="auto"/>
          <w:szCs w:val="21"/>
          <w:highlight w:val="none"/>
        </w:rPr>
        <w:t>中标人</w:t>
      </w:r>
      <w:r>
        <w:rPr>
          <w:color w:val="auto"/>
          <w:szCs w:val="21"/>
          <w:highlight w:val="none"/>
        </w:rPr>
        <w:t>应向本采购代理机构支付</w:t>
      </w:r>
      <w:r>
        <w:rPr>
          <w:rFonts w:hint="eastAsia"/>
          <w:color w:val="auto"/>
          <w:szCs w:val="21"/>
          <w:highlight w:val="none"/>
        </w:rPr>
        <w:t>代理服务费</w:t>
      </w:r>
      <w:r>
        <w:rPr>
          <w:color w:val="auto"/>
          <w:szCs w:val="21"/>
          <w:highlight w:val="none"/>
        </w:rPr>
        <w:t>。</w:t>
      </w:r>
      <w:r>
        <w:rPr>
          <w:rFonts w:hint="eastAsia"/>
          <w:color w:val="auto"/>
          <w:szCs w:val="21"/>
          <w:highlight w:val="none"/>
        </w:rPr>
        <w:t>代理服务费</w:t>
      </w:r>
      <w:r>
        <w:rPr>
          <w:color w:val="auto"/>
          <w:szCs w:val="21"/>
          <w:highlight w:val="none"/>
        </w:rPr>
        <w:t>的收费依据及相关规定载明在采购文件《投标资料表》中。</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十、政府采购活动中有关中小企业的相关规定</w:t>
      </w:r>
    </w:p>
    <w:p>
      <w:pPr>
        <w:pStyle w:val="94"/>
        <w:spacing w:line="460" w:lineRule="exact"/>
        <w:ind w:firstLine="422"/>
        <w:jc w:val="center"/>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（采购进口产品的项目不适用）</w:t>
      </w:r>
    </w:p>
    <w:p>
      <w:pPr>
        <w:pStyle w:val="94"/>
        <w:spacing w:line="460" w:lineRule="exact"/>
        <w:ind w:left="0" w:leftChars="0" w:firstLine="0" w:firstLineChars="0"/>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27、本项目专门面向中小企业采购。</w:t>
      </w:r>
    </w:p>
    <w:p>
      <w:pPr>
        <w:pStyle w:val="94"/>
        <w:spacing w:line="460" w:lineRule="exact"/>
        <w:ind w:left="0" w:leftChars="0" w:firstLine="0" w:firstLineChars="0"/>
        <w:rPr>
          <w:rFonts w:asciiTheme="minorEastAsia" w:hAnsiTheme="minorEastAsia"/>
          <w:b/>
          <w:color w:val="auto"/>
          <w:sz w:val="21"/>
          <w:szCs w:val="21"/>
          <w:highlight w:val="none"/>
          <w:u w:val="single"/>
        </w:rPr>
      </w:pPr>
      <w:r>
        <w:rPr>
          <w:rFonts w:hint="eastAsia" w:asciiTheme="minorEastAsia" w:hAnsiTheme="minorEastAsia"/>
          <w:b/>
          <w:color w:val="auto"/>
          <w:sz w:val="21"/>
          <w:szCs w:val="21"/>
          <w:highlight w:val="none"/>
        </w:rPr>
        <w:t>28、本项目对应的中小企业划型标准所属行业：</w:t>
      </w:r>
      <w:r>
        <w:rPr>
          <w:rFonts w:hint="eastAsia" w:asciiTheme="minorEastAsia" w:hAnsiTheme="minorEastAsia"/>
          <w:b/>
          <w:color w:val="auto"/>
          <w:sz w:val="21"/>
          <w:szCs w:val="21"/>
          <w:highlight w:val="none"/>
          <w:u w:val="single"/>
        </w:rPr>
        <w:t>工业。</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29、中小企业，是指在中华人民共和国境内依法设立，依据国务院批准的中小企业划分标准确定的中型企业、小型企业和微型企业，但与大企业的负责人为同一人，或者与大企业存在直接控股、管理关系的除外。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符合中小企业划分标准的个体工商户，在政府采购活动中视同中小企业。</w:t>
      </w:r>
    </w:p>
    <w:p>
      <w:pPr>
        <w:pStyle w:val="94"/>
        <w:spacing w:line="460" w:lineRule="exact"/>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国务院批准的中小企业划分标准：具体见工信部联企业[2011]300号。</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30、在政府采购活动中，供应商提供的货物、工程或者服务符合下列情形的，可享受小型、微型企业（以下简称小微企业）的价格扣除：</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（1）在货物采购项目中，货物由小微企业制造，即货物由小微企业生产且使用该小微企业商号或者注册商标；</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（2）在工程采购项目中，工程由小微企业承建，即工程施工单位为小微企业；</w:t>
      </w:r>
    </w:p>
    <w:p>
      <w:pPr>
        <w:pStyle w:val="94"/>
        <w:spacing w:line="460" w:lineRule="exact"/>
        <w:ind w:left="0" w:leftChars="0" w:firstLine="315" w:firstLineChars="15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（3）在服务采购项目中，服务由小微企业承接，即提供服务的人员为小微企业依照《中华人民共和国劳动合同法》订立劳动合同的从业人员。</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31、在货物采购项目中，供应商提供的货物既有中小企业制造货物，也有大型企业制造货物的，不享受的小微企业价格扣除。</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32、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33、根据《关于促进残疾人就业政府采购政策的通知》（财库[2017]141号）规定，在政府采购活动中，残疾人福利性单位视同小型、微型企业。残疾人福利性单位参加政府采购活动时，提供《残疾人福利性单位声明函》。</w:t>
      </w:r>
    </w:p>
    <w:p>
      <w:pPr>
        <w:pStyle w:val="94"/>
        <w:spacing w:line="460" w:lineRule="exact"/>
        <w:ind w:left="0" w:leftChars="0" w:firstLine="0" w:firstLineChars="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34、按规定享受扶持政策获得政府采购合同的，小微企业不得将合同分包给大中型企业，中型企业不得将合同分包给大型企业。</w:t>
      </w:r>
    </w:p>
    <w:p>
      <w:pPr>
        <w:pStyle w:val="94"/>
        <w:spacing w:line="460" w:lineRule="exact"/>
        <w:ind w:left="0" w:leftChars="0" w:firstLine="0" w:firstLineChars="0"/>
        <w:rPr>
          <w:rFonts w:asciiTheme="minorEastAsia" w:hAnsiTheme="minorEastAsia"/>
          <w:color w:val="auto"/>
          <w:sz w:val="24"/>
          <w:szCs w:val="24"/>
          <w:highlight w:val="none"/>
        </w:rPr>
      </w:pPr>
      <w:r>
        <w:rPr>
          <w:rFonts w:hint="eastAsia" w:asciiTheme="minorEastAsia" w:hAnsiTheme="minorEastAsia"/>
          <w:color w:val="auto"/>
          <w:sz w:val="21"/>
          <w:szCs w:val="21"/>
          <w:highlight w:val="none"/>
        </w:rPr>
        <w:t xml:space="preserve">35、供应商按照《政府采购促进中小企业发展管理办法》（财库﹝2020﹞46号）规定提供声明函内容不实的，属于提供虚假材料谋取中标、成交，依照《中华人民共和国政府采购法》等国家有关规定追究相应责任。 </w:t>
      </w:r>
    </w:p>
    <w:p>
      <w:pPr>
        <w:pageBreakBefore/>
        <w:spacing w:line="360" w:lineRule="auto"/>
        <w:jc w:val="center"/>
        <w:outlineLvl w:val="0"/>
        <w:rPr>
          <w:rFonts w:asciiTheme="minorEastAsia" w:hAnsiTheme="minorEastAsia" w:eastAsiaTheme="minorEastAsia"/>
          <w:b/>
          <w:color w:val="auto"/>
          <w:sz w:val="36"/>
          <w:szCs w:val="36"/>
          <w:highlight w:val="none"/>
        </w:rPr>
      </w:pPr>
      <w:bookmarkStart w:id="73" w:name="_Toc19405"/>
      <w:bookmarkStart w:id="74" w:name="_Toc9564"/>
      <w:bookmarkStart w:id="75" w:name="_Toc15940"/>
      <w:bookmarkStart w:id="76" w:name="_Toc4213"/>
      <w:bookmarkStart w:id="77" w:name="_Toc4644"/>
      <w:bookmarkStart w:id="78" w:name="_Toc29648"/>
      <w:bookmarkStart w:id="79" w:name="_Toc10854"/>
      <w:bookmarkStart w:id="80" w:name="_Toc26752"/>
      <w:r>
        <w:rPr>
          <w:rFonts w:asciiTheme="minorEastAsia" w:hAnsiTheme="minorEastAsia" w:eastAsiaTheme="minorEastAsia"/>
          <w:color w:val="auto"/>
          <w:highlight w:val="none"/>
          <w:u w:val="none"/>
        </w:rPr>
        <w:fldChar w:fldCharType="begin"/>
      </w:r>
      <w:r>
        <w:rPr>
          <w:rFonts w:asciiTheme="minorEastAsia" w:hAnsiTheme="minorEastAsia" w:eastAsiaTheme="minorEastAsia"/>
          <w:color w:val="auto"/>
          <w:highlight w:val="none"/>
          <w:u w:val="none"/>
        </w:rPr>
        <w:instrText xml:space="preserve">HYPERLINK "file:///F:\\微信\\WeChat%20Files\\a29023143\\FileStorage\\File\\2021-11\\台州市公安局特警支队最小作战单元装备建设采购项目10.28.docx" \l "●评分标准"</w:instrText>
      </w:r>
      <w:r>
        <w:rPr>
          <w:rFonts w:asciiTheme="minorEastAsia" w:hAnsiTheme="minorEastAsia" w:eastAsiaTheme="minorEastAsia"/>
          <w:color w:val="auto"/>
          <w:highlight w:val="none"/>
          <w:u w:val="none"/>
        </w:rPr>
        <w:fldChar w:fldCharType="separate"/>
      </w:r>
      <w:r>
        <w:rPr>
          <w:rStyle w:val="55"/>
          <w:rFonts w:hint="eastAsia" w:asciiTheme="minorEastAsia" w:hAnsiTheme="minorEastAsia" w:eastAsiaTheme="minorEastAsia"/>
          <w:b/>
          <w:color w:val="auto"/>
          <w:sz w:val="32"/>
          <w:szCs w:val="32"/>
          <w:highlight w:val="none"/>
          <w:u w:val="none"/>
        </w:rPr>
        <w:t>第四部分 评标办法及评分标准</w:t>
      </w:r>
      <w:bookmarkEnd w:id="73"/>
      <w:r>
        <w:rPr>
          <w:rFonts w:asciiTheme="minorEastAsia" w:hAnsiTheme="minorEastAsia" w:eastAsiaTheme="minorEastAsia"/>
          <w:color w:val="auto"/>
          <w:highlight w:val="none"/>
          <w:u w:val="none"/>
        </w:rPr>
        <w:fldChar w:fldCharType="end"/>
      </w:r>
      <w:bookmarkEnd w:id="74"/>
      <w:bookmarkEnd w:id="75"/>
      <w:bookmarkEnd w:id="76"/>
      <w:bookmarkEnd w:id="77"/>
      <w:bookmarkEnd w:id="78"/>
      <w:bookmarkEnd w:id="79"/>
      <w:bookmarkEnd w:id="80"/>
    </w:p>
    <w:p>
      <w:pPr>
        <w:pStyle w:val="94"/>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一、</w:t>
      </w:r>
      <w:r>
        <w:rPr>
          <w:rFonts w:asciiTheme="minorEastAsia" w:hAnsiTheme="minorEastAsia"/>
          <w:color w:val="auto"/>
          <w:sz w:val="21"/>
          <w:szCs w:val="21"/>
          <w:highlight w:val="none"/>
        </w:rPr>
        <w:t>本评标标准是对</w:t>
      </w:r>
      <w:r>
        <w:rPr>
          <w:rFonts w:hint="eastAsia" w:asciiTheme="minorEastAsia" w:hAnsiTheme="minorEastAsia"/>
          <w:color w:val="auto"/>
          <w:sz w:val="21"/>
          <w:szCs w:val="21"/>
          <w:highlight w:val="none"/>
        </w:rPr>
        <w:t>《投标人须知》中</w:t>
      </w:r>
      <w:r>
        <w:rPr>
          <w:rFonts w:asciiTheme="minorEastAsia" w:hAnsiTheme="minorEastAsia"/>
          <w:color w:val="auto"/>
          <w:sz w:val="21"/>
          <w:szCs w:val="21"/>
          <w:highlight w:val="none"/>
        </w:rPr>
        <w:t>的</w:t>
      </w:r>
      <w:r>
        <w:rPr>
          <w:rFonts w:hint="eastAsia" w:asciiTheme="minorEastAsia" w:hAnsiTheme="minorEastAsia"/>
          <w:color w:val="auto"/>
          <w:sz w:val="21"/>
          <w:szCs w:val="21"/>
          <w:highlight w:val="none"/>
        </w:rPr>
        <w:t>“五、</w:t>
      </w:r>
      <w:r>
        <w:rPr>
          <w:rFonts w:asciiTheme="minorEastAsia" w:hAnsiTheme="minorEastAsia"/>
          <w:color w:val="auto"/>
          <w:sz w:val="21"/>
          <w:szCs w:val="21"/>
          <w:highlight w:val="none"/>
        </w:rPr>
        <w:t>评标和定标</w:t>
      </w: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的具体补充，如有不一致，以本办法为准。</w:t>
      </w:r>
    </w:p>
    <w:p>
      <w:pPr>
        <w:pStyle w:val="94"/>
        <w:ind w:left="0" w:leftChars="0"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二、</w:t>
      </w:r>
      <w:r>
        <w:rPr>
          <w:rFonts w:asciiTheme="minorEastAsia" w:hAnsiTheme="minorEastAsia"/>
          <w:color w:val="auto"/>
          <w:sz w:val="21"/>
          <w:szCs w:val="21"/>
          <w:highlight w:val="none"/>
        </w:rPr>
        <w:t>评标委员会按照</w:t>
      </w:r>
      <w:r>
        <w:rPr>
          <w:rFonts w:hint="eastAsia" w:asciiTheme="minorEastAsia" w:hAnsiTheme="minorEastAsia"/>
          <w:color w:val="auto"/>
          <w:sz w:val="21"/>
          <w:szCs w:val="21"/>
          <w:highlight w:val="none"/>
        </w:rPr>
        <w:t>“投标文件须知</w:t>
      </w:r>
      <w:r>
        <w:rPr>
          <w:rFonts w:asciiTheme="minorEastAsia" w:hAnsiTheme="minorEastAsia"/>
          <w:color w:val="auto"/>
          <w:sz w:val="21"/>
          <w:szCs w:val="21"/>
          <w:highlight w:val="none"/>
        </w:rPr>
        <w:t>中”中关于评标委员会、评标办法、评标程序和原则、推荐中标人、定标等规定和本标准开展评标工作。</w:t>
      </w:r>
    </w:p>
    <w:p>
      <w:pPr>
        <w:pStyle w:val="94"/>
        <w:ind w:left="0" w:leftChars="0"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94"/>
        <w:ind w:left="0" w:leftChars="0" w:firstLine="420" w:firstLineChars="20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三、评标办法</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本次采购招标项目选用：综合评分法。</w:t>
      </w:r>
    </w:p>
    <w:p>
      <w:pPr>
        <w:pStyle w:val="94"/>
        <w:ind w:left="0" w:leftChars="0" w:firstLine="420" w:firstLineChars="20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四、评标细则</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（一）对初步审查（含资格性审查、符合性审查）合格者进行评分。</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（二）评审顺序依为初步审查、商务技术评审、价格评审、最终评分；评审过程中出现不合格时，不再进行下个程序评审，其投标报价也不进入价格评审范围。</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（三）商务技术分（</w:t>
      </w:r>
      <w:r>
        <w:rPr>
          <w:rFonts w:hint="eastAsia" w:asciiTheme="minorEastAsia" w:hAnsiTheme="minorEastAsia"/>
          <w:color w:val="auto"/>
          <w:sz w:val="21"/>
          <w:szCs w:val="21"/>
          <w:highlight w:val="none"/>
          <w:lang w:val="en-US" w:eastAsia="zh-CN"/>
        </w:rPr>
        <w:t>70</w:t>
      </w:r>
      <w:r>
        <w:rPr>
          <w:rFonts w:asciiTheme="minorEastAsia" w:hAnsiTheme="minorEastAsia"/>
          <w:color w:val="auto"/>
          <w:sz w:val="21"/>
          <w:szCs w:val="21"/>
          <w:highlight w:val="none"/>
        </w:rPr>
        <w:t>分）</w:t>
      </w:r>
    </w:p>
    <w:p>
      <w:pPr>
        <w:pStyle w:val="94"/>
        <w:ind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1、按照客观、公正、审慎的原则，商务与技术文件中的客观分由评审专家根据采购文件规定的评审程序、评审方法和评审标准进行独立评审；其余在规定的分值内单独评定打分。</w:t>
      </w:r>
    </w:p>
    <w:p>
      <w:pPr>
        <w:pStyle w:val="94"/>
        <w:ind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2、各投标人商务与技术文件得分按照评标委员会成员的独立评分结果汇总后的算术平均分计算，计算公式为：</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商务与技术文件得分</w:t>
      </w:r>
      <w:r>
        <w:rPr>
          <w:rFonts w:asciiTheme="minorEastAsia" w:hAnsiTheme="minorEastAsia"/>
          <w:color w:val="auto"/>
          <w:sz w:val="21"/>
          <w:szCs w:val="21"/>
          <w:highlight w:val="none"/>
        </w:rPr>
        <w:t>=评标委员会所有成员评分合计数/评标委员会组成人员数。</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注：得分以系统计算为准，保留</w:t>
      </w:r>
      <w:r>
        <w:rPr>
          <w:rFonts w:asciiTheme="minorEastAsia" w:hAnsiTheme="minorEastAsia"/>
          <w:color w:val="auto"/>
          <w:sz w:val="21"/>
          <w:szCs w:val="21"/>
          <w:highlight w:val="none"/>
        </w:rPr>
        <w:t>2位小数。</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（四）、价格分（</w:t>
      </w:r>
      <w:r>
        <w:rPr>
          <w:rFonts w:hint="eastAsia" w:asciiTheme="minorEastAsia" w:hAnsiTheme="minorEastAsia"/>
          <w:color w:val="auto"/>
          <w:sz w:val="21"/>
          <w:szCs w:val="21"/>
          <w:highlight w:val="none"/>
          <w:lang w:val="en-US" w:eastAsia="zh-CN"/>
        </w:rPr>
        <w:t>30</w:t>
      </w:r>
      <w:r>
        <w:rPr>
          <w:rFonts w:asciiTheme="minorEastAsia" w:hAnsiTheme="minorEastAsia"/>
          <w:color w:val="auto"/>
          <w:sz w:val="21"/>
          <w:szCs w:val="21"/>
          <w:highlight w:val="none"/>
        </w:rPr>
        <w:t>分）</w:t>
      </w:r>
    </w:p>
    <w:p>
      <w:pPr>
        <w:pStyle w:val="94"/>
        <w:ind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1、价格评审基准价格与价格评审：有效投标中的最低投标报价为基准价格，其投标价格分得满分。其余投标价格分得分计算按照“评分标准”中评审得分公式计算，以四舍五入方法整合到小数点后二位。其他投标人的价格分按照下列公式计算：</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价格分</w:t>
      </w: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 xml:space="preserve">(评标基准价／投标报价)×30%×100 </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（五）、最终得分：</w:t>
      </w:r>
    </w:p>
    <w:p>
      <w:pPr>
        <w:pStyle w:val="94"/>
        <w:ind w:left="0" w:leftChars="0"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各评委商务技术分的算术平均值</w:t>
      </w:r>
      <w:r>
        <w:rPr>
          <w:rFonts w:asciiTheme="minorEastAsia" w:hAnsiTheme="minorEastAsia"/>
          <w:color w:val="auto"/>
          <w:sz w:val="21"/>
          <w:szCs w:val="21"/>
          <w:highlight w:val="none"/>
        </w:rPr>
        <w:t>+投标价格分=最终得分，以四舍五入法整合到小数点后二位。</w:t>
      </w:r>
    </w:p>
    <w:p>
      <w:pPr>
        <w:pStyle w:val="94"/>
        <w:ind w:left="0" w:leftChars="0" w:firstLine="420"/>
        <w:rPr>
          <w:rFonts w:hint="eastAsia" w:asciiTheme="minorEastAsia" w:hAnsiTheme="minorEastAsia"/>
          <w:color w:val="auto"/>
          <w:sz w:val="21"/>
          <w:szCs w:val="21"/>
          <w:highlight w:val="none"/>
        </w:rPr>
      </w:pPr>
    </w:p>
    <w:p>
      <w:pPr>
        <w:pStyle w:val="94"/>
        <w:ind w:left="0" w:leftChars="0" w:firstLine="420"/>
        <w:rPr>
          <w:rFonts w:hint="eastAsia" w:asciiTheme="minorEastAsia" w:hAnsiTheme="minorEastAsia"/>
          <w:color w:val="auto"/>
          <w:sz w:val="21"/>
          <w:szCs w:val="21"/>
          <w:highlight w:val="none"/>
        </w:rPr>
      </w:pPr>
    </w:p>
    <w:p>
      <w:pPr>
        <w:pStyle w:val="94"/>
        <w:ind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六）、评价排序：按评审后得分由高到低顺序排列。得分相同的，按投标报价由低到高顺序排列。如综合得分且投标报价相同的，货物类采购项目以技术性能得分较高者为先，服务类采购项目以实力信誉及业绩得分较高者为先。</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（七）、如果中标人自动放弃中标资格或因质疑或是投诉被取消中标资格的，可视情况报经财政部门同意后根据评审结果按顺序由排在后面的候选供应商递补，以此类推。</w:t>
      </w:r>
    </w:p>
    <w:p>
      <w:pPr>
        <w:pStyle w:val="94"/>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（八）、其他说明</w:t>
      </w:r>
    </w:p>
    <w:p>
      <w:pPr>
        <w:pStyle w:val="94"/>
        <w:ind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1、有效投标：通过初步审查且投标报价符合评审范围。</w:t>
      </w:r>
    </w:p>
    <w:p>
      <w:pPr>
        <w:pStyle w:val="94"/>
        <w:ind w:firstLine="420"/>
        <w:rPr>
          <w:rFonts w:asciiTheme="minorEastAsia" w:hAnsiTheme="minorEastAsia"/>
          <w:color w:val="auto"/>
          <w:sz w:val="21"/>
          <w:szCs w:val="21"/>
          <w:highlight w:val="none"/>
        </w:rPr>
      </w:pPr>
      <w:r>
        <w:rPr>
          <w:rFonts w:asciiTheme="minorEastAsia" w:hAnsiTheme="minorEastAsia"/>
          <w:color w:val="auto"/>
          <w:sz w:val="21"/>
          <w:szCs w:val="21"/>
          <w:highlight w:val="none"/>
        </w:rPr>
        <w:t>2、若出现参与采购响应或者对作出实质性响应的供应商不足3家的情况，除经政府采购管理部门同意且有效供应商仍有两家可直接与该两家供应商进行竞争性谈判采购外，采购程序依法即行终止。</w:t>
      </w:r>
    </w:p>
    <w:p>
      <w:pPr>
        <w:pStyle w:val="94"/>
        <w:ind w:left="0" w:leftChars="0" w:firstLine="738" w:firstLineChars="350"/>
        <w:rPr>
          <w:rFonts w:asciiTheme="minorEastAsia" w:hAnsiTheme="minorEastAsia"/>
          <w:b/>
          <w:color w:val="auto"/>
          <w:sz w:val="21"/>
          <w:szCs w:val="21"/>
          <w:highlight w:val="none"/>
        </w:rPr>
      </w:pPr>
      <w:r>
        <w:rPr>
          <w:rFonts w:asciiTheme="minorEastAsia" w:hAnsiTheme="minorEastAsia"/>
          <w:b/>
          <w:color w:val="auto"/>
          <w:sz w:val="21"/>
          <w:szCs w:val="21"/>
          <w:highlight w:val="none"/>
        </w:rPr>
        <w:t>3、本次采购为专门面向中小企业采购，专门面向中小企业采购的项目不再执行价格优惠措施。</w:t>
      </w:r>
    </w:p>
    <w:p>
      <w:pPr>
        <w:snapToGrid w:val="0"/>
        <w:spacing w:afterLines="50"/>
        <w:ind w:firstLine="562"/>
        <w:jc w:val="center"/>
        <w:rPr>
          <w:b/>
          <w:color w:val="auto"/>
          <w:sz w:val="28"/>
          <w:szCs w:val="28"/>
          <w:highlight w:val="none"/>
        </w:rPr>
      </w:pPr>
      <w:r>
        <w:rPr>
          <w:b/>
          <w:color w:val="auto"/>
          <w:sz w:val="28"/>
          <w:szCs w:val="28"/>
          <w:highlight w:val="none"/>
        </w:rPr>
        <w:t>评分标准</w:t>
      </w:r>
    </w:p>
    <w:tbl>
      <w:tblPr>
        <w:tblStyle w:val="47"/>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082"/>
        <w:gridCol w:w="673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84" w:type="dxa"/>
            <w:vAlign w:val="center"/>
          </w:tcPr>
          <w:p>
            <w:pPr>
              <w:adjustRightInd w:val="0"/>
              <w:spacing w:after="100" w:afterAutospacing="1" w:line="44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082" w:type="dxa"/>
            <w:vAlign w:val="center"/>
          </w:tcPr>
          <w:p>
            <w:pPr>
              <w:adjustRightInd w:val="0"/>
              <w:spacing w:after="100" w:afterAutospacing="1" w:line="440" w:lineRule="exact"/>
              <w:jc w:val="center"/>
              <w:rPr>
                <w:rFonts w:ascii="宋体" w:hAnsi="宋体" w:cs="宋体"/>
                <w:b/>
                <w:color w:val="auto"/>
                <w:szCs w:val="21"/>
                <w:highlight w:val="none"/>
              </w:rPr>
            </w:pPr>
            <w:r>
              <w:rPr>
                <w:rFonts w:hint="eastAsia" w:ascii="宋体" w:hAnsi="宋体" w:cs="宋体"/>
                <w:b/>
                <w:color w:val="auto"/>
                <w:szCs w:val="21"/>
                <w:highlight w:val="none"/>
              </w:rPr>
              <w:t>评分项目</w:t>
            </w:r>
          </w:p>
        </w:tc>
        <w:tc>
          <w:tcPr>
            <w:tcW w:w="6730" w:type="dxa"/>
            <w:vAlign w:val="center"/>
          </w:tcPr>
          <w:p>
            <w:pPr>
              <w:adjustRightInd w:val="0"/>
              <w:spacing w:after="100" w:afterAutospacing="1" w:line="440" w:lineRule="exact"/>
              <w:jc w:val="center"/>
              <w:rPr>
                <w:rFonts w:ascii="宋体" w:hAnsi="宋体" w:cs="宋体"/>
                <w:b/>
                <w:color w:val="auto"/>
                <w:szCs w:val="21"/>
                <w:highlight w:val="none"/>
              </w:rPr>
            </w:pPr>
            <w:r>
              <w:rPr>
                <w:rFonts w:hint="eastAsia" w:ascii="宋体" w:hAnsi="宋体" w:cs="宋体"/>
                <w:b/>
                <w:color w:val="auto"/>
                <w:szCs w:val="21"/>
                <w:highlight w:val="none"/>
              </w:rPr>
              <w:t>评分细则</w:t>
            </w:r>
          </w:p>
        </w:tc>
        <w:tc>
          <w:tcPr>
            <w:tcW w:w="759" w:type="dxa"/>
            <w:vAlign w:val="center"/>
          </w:tcPr>
          <w:p>
            <w:pPr>
              <w:adjustRightInd w:val="0"/>
              <w:spacing w:after="100" w:afterAutospacing="1" w:line="440" w:lineRule="exact"/>
              <w:jc w:val="center"/>
              <w:rPr>
                <w:rFonts w:ascii="宋体" w:hAnsi="宋体" w:cs="宋体"/>
                <w:b/>
                <w:color w:val="auto"/>
                <w:szCs w:val="21"/>
                <w:highlight w:val="none"/>
              </w:rPr>
            </w:pPr>
            <w:r>
              <w:rPr>
                <w:rFonts w:hint="eastAsia" w:ascii="宋体" w:hAnsi="宋体" w:cs="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84" w:type="dxa"/>
            <w:vMerge w:val="restart"/>
            <w:vAlign w:val="center"/>
          </w:tcPr>
          <w:p>
            <w:pPr>
              <w:spacing w:line="44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技术、商务文件（</w:t>
            </w:r>
            <w:r>
              <w:rPr>
                <w:rFonts w:ascii="宋体" w:hAnsi="宋体" w:cs="宋体"/>
                <w:b/>
                <w:color w:val="auto"/>
                <w:kern w:val="0"/>
                <w:szCs w:val="21"/>
                <w:highlight w:val="none"/>
              </w:rPr>
              <w:t>70分）</w:t>
            </w:r>
          </w:p>
        </w:tc>
        <w:tc>
          <w:tcPr>
            <w:tcW w:w="1082" w:type="dxa"/>
            <w:vMerge w:val="restart"/>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技术性能（45分）</w:t>
            </w:r>
          </w:p>
        </w:tc>
        <w:tc>
          <w:tcPr>
            <w:tcW w:w="6730" w:type="dxa"/>
            <w:vAlign w:val="center"/>
          </w:tcPr>
          <w:p>
            <w:pPr>
              <w:pStyle w:val="2"/>
              <w:spacing w:line="360" w:lineRule="exact"/>
              <w:ind w:left="0" w:leftChars="0" w:firstLine="0" w:firstLineChars="0"/>
              <w:rPr>
                <w:color w:val="auto"/>
                <w:highlight w:val="none"/>
              </w:rPr>
            </w:pPr>
            <w:r>
              <w:rPr>
                <w:rFonts w:hint="eastAsia"/>
                <w:color w:val="auto"/>
                <w:highlight w:val="none"/>
              </w:rPr>
              <w:t>专家结合投标产品各项技术参数与招标文件要求的偏离情况综合打分，每1条带★号的技术参数不满足招标需求的扣2分，每1条一般参数不满足招标需求的扣1分，扣完为止。</w:t>
            </w:r>
          </w:p>
          <w:p>
            <w:pPr>
              <w:pStyle w:val="2"/>
              <w:spacing w:line="360" w:lineRule="exact"/>
              <w:ind w:left="0" w:leftChars="0" w:firstLine="0" w:firstLineChars="0"/>
              <w:rPr>
                <w:color w:val="auto"/>
                <w:highlight w:val="none"/>
              </w:rPr>
            </w:pPr>
            <w:r>
              <w:rPr>
                <w:rFonts w:hint="eastAsia"/>
                <w:color w:val="auto"/>
                <w:highlight w:val="none"/>
              </w:rPr>
              <w:t>注：标</w:t>
            </w:r>
            <w:r>
              <w:rPr>
                <w:color w:val="auto"/>
                <w:highlight w:val="none"/>
              </w:rPr>
              <w:t>“</w:t>
            </w:r>
            <w:r>
              <w:rPr>
                <w:rFonts w:hint="eastAsia"/>
                <w:color w:val="auto"/>
                <w:highlight w:val="none"/>
              </w:rPr>
              <w:t>★</w:t>
            </w:r>
            <w:r>
              <w:rPr>
                <w:color w:val="auto"/>
                <w:highlight w:val="none"/>
              </w:rPr>
              <w:t>”</w:t>
            </w:r>
            <w:r>
              <w:rPr>
                <w:rFonts w:hint="eastAsia"/>
                <w:color w:val="auto"/>
                <w:highlight w:val="none"/>
              </w:rPr>
              <w:t>主要性能参数指标负偏离项（含）</w:t>
            </w:r>
            <w:r>
              <w:rPr>
                <w:color w:val="auto"/>
                <w:highlight w:val="none"/>
              </w:rPr>
              <w:t>6</w:t>
            </w:r>
            <w:r>
              <w:rPr>
                <w:rFonts w:hint="eastAsia"/>
                <w:color w:val="auto"/>
                <w:highlight w:val="none"/>
              </w:rPr>
              <w:t>及以上的，作无效标处理；</w:t>
            </w:r>
            <w:r>
              <w:rPr>
                <w:rFonts w:hint="eastAsia" w:ascii="Times New Roman" w:hAnsi="Times New Roman"/>
                <w:color w:val="auto"/>
                <w:szCs w:val="21"/>
                <w:highlight w:val="none"/>
              </w:rPr>
              <w:t>本项</w:t>
            </w:r>
            <w:r>
              <w:rPr>
                <w:rFonts w:ascii="Times New Roman" w:hAnsi="Times New Roman"/>
                <w:color w:val="auto"/>
                <w:szCs w:val="21"/>
                <w:highlight w:val="none"/>
              </w:rPr>
              <w:t>扣</w:t>
            </w:r>
            <w:r>
              <w:rPr>
                <w:rFonts w:hint="eastAsia" w:ascii="Times New Roman" w:hAnsi="Times New Roman"/>
                <w:color w:val="auto"/>
                <w:szCs w:val="21"/>
                <w:highlight w:val="none"/>
              </w:rPr>
              <w:t>至零分的</w:t>
            </w:r>
            <w:r>
              <w:rPr>
                <w:rFonts w:ascii="Times New Roman" w:hAnsi="Times New Roman"/>
                <w:color w:val="auto"/>
                <w:szCs w:val="21"/>
                <w:highlight w:val="none"/>
              </w:rPr>
              <w:t>，</w:t>
            </w:r>
            <w:r>
              <w:rPr>
                <w:rFonts w:hint="eastAsia" w:ascii="Times New Roman" w:hAnsi="Times New Roman"/>
                <w:color w:val="auto"/>
                <w:szCs w:val="21"/>
                <w:highlight w:val="none"/>
              </w:rPr>
              <w:t>作</w:t>
            </w:r>
            <w:r>
              <w:rPr>
                <w:rFonts w:ascii="Times New Roman" w:hAnsi="Times New Roman"/>
                <w:color w:val="auto"/>
                <w:szCs w:val="21"/>
                <w:highlight w:val="none"/>
              </w:rPr>
              <w:t>无效标处理。</w:t>
            </w:r>
          </w:p>
          <w:p>
            <w:pPr>
              <w:rPr>
                <w:color w:val="auto"/>
                <w:highlight w:val="none"/>
              </w:rPr>
            </w:pPr>
            <w:r>
              <w:rPr>
                <w:rFonts w:hint="eastAsia"/>
                <w:color w:val="auto"/>
                <w:highlight w:val="none"/>
              </w:rPr>
              <w:t>加“★”的核心参数需要在投标文件中提供检测报告或产品彩页或官网截图证明，未提供者对应项不得分。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Merge w:val="continue"/>
            <w:vAlign w:val="center"/>
          </w:tcPr>
          <w:p>
            <w:pPr>
              <w:spacing w:line="360" w:lineRule="exact"/>
              <w:jc w:val="center"/>
              <w:rPr>
                <w:rFonts w:ascii="宋体" w:hAnsi="宋体" w:cs="宋体"/>
                <w:b/>
                <w:color w:val="auto"/>
                <w:kern w:val="0"/>
                <w:szCs w:val="21"/>
                <w:highlight w:val="none"/>
              </w:rPr>
            </w:pPr>
          </w:p>
        </w:tc>
        <w:tc>
          <w:tcPr>
            <w:tcW w:w="6730" w:type="dxa"/>
            <w:vAlign w:val="center"/>
          </w:tcPr>
          <w:p>
            <w:pPr>
              <w:widowControl/>
              <w:spacing w:line="360" w:lineRule="exact"/>
              <w:rPr>
                <w:color w:val="auto"/>
                <w:highlight w:val="none"/>
              </w:rPr>
            </w:pPr>
            <w:r>
              <w:rPr>
                <w:rFonts w:hint="eastAsia"/>
                <w:color w:val="auto"/>
                <w:highlight w:val="none"/>
              </w:rPr>
              <w:t>投标产品技术参数有实质性及功能性优于采购文件要求进行评分，</w:t>
            </w:r>
          </w:p>
          <w:p>
            <w:pPr>
              <w:widowControl/>
              <w:spacing w:line="360" w:lineRule="exact"/>
              <w:rPr>
                <w:color w:val="auto"/>
                <w:highlight w:val="none"/>
              </w:rPr>
            </w:pPr>
            <w:r>
              <w:rPr>
                <w:rFonts w:hint="eastAsia"/>
                <w:color w:val="auto"/>
                <w:highlight w:val="none"/>
              </w:rPr>
              <w:t>标</w:t>
            </w:r>
            <w:r>
              <w:rPr>
                <w:color w:val="auto"/>
                <w:highlight w:val="none"/>
              </w:rPr>
              <w:t>“★”</w:t>
            </w:r>
            <w:r>
              <w:rPr>
                <w:rFonts w:hint="eastAsia"/>
                <w:color w:val="auto"/>
                <w:highlight w:val="none"/>
              </w:rPr>
              <w:t>主要性能参数正偏离的，每1条加1分，最多加6分；</w:t>
            </w:r>
          </w:p>
          <w:p>
            <w:pPr>
              <w:pStyle w:val="21"/>
              <w:rPr>
                <w:rFonts w:ascii="宋体" w:hAnsi="宋体" w:cs="宋体"/>
                <w:color w:val="auto"/>
                <w:kern w:val="0"/>
                <w:szCs w:val="21"/>
                <w:highlight w:val="none"/>
              </w:rPr>
            </w:pPr>
            <w:r>
              <w:rPr>
                <w:rFonts w:hint="eastAsia" w:ascii="宋体" w:hAnsi="宋体" w:cs="宋体"/>
                <w:color w:val="auto"/>
                <w:kern w:val="0"/>
                <w:szCs w:val="21"/>
                <w:highlight w:val="none"/>
              </w:rPr>
              <w:t>一般性能参数正偏离的，每一条0.5分，最多加4分。</w:t>
            </w:r>
          </w:p>
          <w:p>
            <w:pPr>
              <w:pStyle w:val="21"/>
              <w:rPr>
                <w:rFonts w:ascii="宋体" w:hAnsi="宋体" w:cs="宋体"/>
                <w:color w:val="auto"/>
                <w:kern w:val="0"/>
                <w:szCs w:val="21"/>
                <w:highlight w:val="none"/>
              </w:rPr>
            </w:pPr>
            <w:r>
              <w:rPr>
                <w:rFonts w:hint="eastAsia" w:ascii="宋体" w:hAnsi="宋体" w:cs="宋体"/>
                <w:color w:val="auto"/>
                <w:kern w:val="0"/>
                <w:szCs w:val="21"/>
                <w:highlight w:val="none"/>
              </w:rPr>
              <w:t>注：加“★”的核心参数需要在投标文件中提供检测报告或产品彩页或官网截图证明，未提供者对应项不得分。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质量保证措施</w:t>
            </w:r>
          </w:p>
          <w:p>
            <w:pPr>
              <w:spacing w:line="360" w:lineRule="exact"/>
              <w:jc w:val="center"/>
              <w:rPr>
                <w:rFonts w:ascii="宋体" w:hAnsi="宋体" w:cs="宋体"/>
                <w:b/>
                <w:bCs/>
                <w:color w:val="auto"/>
                <w:szCs w:val="21"/>
                <w:highlight w:val="none"/>
              </w:rPr>
            </w:pPr>
            <w:r>
              <w:rPr>
                <w:rFonts w:hint="eastAsia" w:ascii="宋体" w:hAnsi="宋体" w:cs="宋体"/>
                <w:b/>
                <w:bCs/>
                <w:color w:val="auto"/>
                <w:szCs w:val="21"/>
                <w:highlight w:val="none"/>
              </w:rPr>
              <w:t>（5分）</w:t>
            </w:r>
          </w:p>
        </w:tc>
        <w:tc>
          <w:tcPr>
            <w:tcW w:w="6730" w:type="dxa"/>
            <w:vAlign w:val="center"/>
          </w:tcPr>
          <w:p>
            <w:pPr>
              <w:pStyle w:val="246"/>
              <w:spacing w:line="360" w:lineRule="auto"/>
              <w:rPr>
                <w:rFonts w:asciiTheme="minorEastAsia" w:hAnsiTheme="minorEastAsia" w:eastAsiaTheme="minorEastAsia"/>
                <w:color w:val="auto"/>
                <w:szCs w:val="20"/>
                <w:highlight w:val="none"/>
              </w:rPr>
            </w:pPr>
            <w:r>
              <w:rPr>
                <w:rFonts w:hint="eastAsia" w:asciiTheme="minorEastAsia" w:hAnsiTheme="minorEastAsia" w:eastAsiaTheme="minorEastAsia"/>
                <w:color w:val="auto"/>
                <w:szCs w:val="20"/>
                <w:highlight w:val="none"/>
              </w:rPr>
              <w:t>根据质量保证措施的具体内容和措施进行综合评分：</w:t>
            </w:r>
          </w:p>
          <w:p>
            <w:pPr>
              <w:pStyle w:val="246"/>
              <w:spacing w:line="360" w:lineRule="auto"/>
              <w:rPr>
                <w:rFonts w:asciiTheme="minorEastAsia" w:hAnsiTheme="minorEastAsia" w:eastAsiaTheme="minorEastAsia"/>
                <w:color w:val="auto"/>
                <w:szCs w:val="20"/>
                <w:highlight w:val="none"/>
              </w:rPr>
            </w:pPr>
            <w:r>
              <w:rPr>
                <w:rFonts w:hint="eastAsia" w:asciiTheme="minorEastAsia" w:hAnsiTheme="minorEastAsia" w:eastAsiaTheme="minorEastAsia"/>
                <w:color w:val="auto"/>
                <w:szCs w:val="20"/>
                <w:highlight w:val="none"/>
              </w:rPr>
              <w:t>1、内容齐全详实，所采取的措施科学、合理，针对性强且完全符合本项实际情况的得3.5-5分；</w:t>
            </w:r>
          </w:p>
          <w:p>
            <w:pPr>
              <w:pStyle w:val="246"/>
              <w:spacing w:line="360" w:lineRule="auto"/>
              <w:rPr>
                <w:rFonts w:asciiTheme="minorEastAsia" w:hAnsiTheme="minorEastAsia" w:eastAsiaTheme="minorEastAsia"/>
                <w:color w:val="auto"/>
                <w:szCs w:val="20"/>
                <w:highlight w:val="none"/>
              </w:rPr>
            </w:pPr>
            <w:r>
              <w:rPr>
                <w:rFonts w:hint="eastAsia" w:asciiTheme="minorEastAsia" w:hAnsiTheme="minorEastAsia" w:eastAsiaTheme="minorEastAsia"/>
                <w:color w:val="auto"/>
                <w:szCs w:val="20"/>
                <w:highlight w:val="none"/>
              </w:rPr>
              <w:t>2、内容基本齐全，所采取的措施较科学、合理，针对性一般且完全符合本项实际情况的得1.7-3.4分；</w:t>
            </w:r>
          </w:p>
          <w:p>
            <w:pPr>
              <w:pStyle w:val="246"/>
              <w:spacing w:line="360" w:lineRule="auto"/>
              <w:rPr>
                <w:rFonts w:asciiTheme="minorEastAsia" w:hAnsiTheme="minorEastAsia" w:eastAsiaTheme="minorEastAsia"/>
                <w:color w:val="auto"/>
                <w:szCs w:val="20"/>
                <w:highlight w:val="none"/>
              </w:rPr>
            </w:pPr>
            <w:r>
              <w:rPr>
                <w:rFonts w:hint="eastAsia" w:asciiTheme="minorEastAsia" w:hAnsiTheme="minorEastAsia" w:eastAsiaTheme="minorEastAsia"/>
                <w:color w:val="auto"/>
                <w:szCs w:val="20"/>
                <w:highlight w:val="none"/>
              </w:rPr>
              <w:t>3、内容欠齐全，所采取的措施欠科学、合理，针对性差，基本符合本项实际情况得0.1-1.6分；</w:t>
            </w:r>
          </w:p>
          <w:p>
            <w:pPr>
              <w:widowControl/>
              <w:spacing w:line="360" w:lineRule="exact"/>
              <w:rPr>
                <w:color w:val="auto"/>
                <w:highlight w:val="none"/>
              </w:rPr>
            </w:pPr>
            <w:r>
              <w:rPr>
                <w:rFonts w:hint="eastAsia" w:asciiTheme="minorEastAsia" w:hAnsiTheme="minorEastAsia" w:eastAsiaTheme="minorEastAsia"/>
                <w:color w:val="auto"/>
                <w:szCs w:val="20"/>
                <w:highlight w:val="none"/>
              </w:rPr>
              <w:t>4、未提供不得分。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供货及 验收     方案   （3分）</w:t>
            </w:r>
          </w:p>
        </w:tc>
        <w:tc>
          <w:tcPr>
            <w:tcW w:w="6730" w:type="dxa"/>
            <w:vAlign w:val="center"/>
          </w:tcPr>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根据投标人针对本次采购货物供货、验收方案进行评分：</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1、供货方案内容齐全，包含了招标需求中的全部内容，对具体的验收方案作出了详细、明确的阐述，且项目方案贴合本项目实际情况的得3分；</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2、供货方案内容较齐全，包含了招标需求中的大部分内容，对具体的验收方案作出了详细、明确的阐述，但方案没有针对本项目实际情况的得2分；</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3、供货方案内容不够齐全，缺少内容，验收方案阐述不明确的得1分；</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4、未提及此项的不得分。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实力信誉（2分）</w:t>
            </w:r>
          </w:p>
        </w:tc>
        <w:tc>
          <w:tcPr>
            <w:tcW w:w="6730" w:type="dxa"/>
            <w:vAlign w:val="center"/>
          </w:tcPr>
          <w:p>
            <w:pPr>
              <w:widowControl/>
              <w:spacing w:line="360" w:lineRule="exact"/>
              <w:rPr>
                <w:rFonts w:ascii="宋体" w:hAnsi="宋体" w:cs="宋体"/>
                <w:color w:val="auto"/>
                <w:highlight w:val="none"/>
              </w:rPr>
            </w:pPr>
            <w:r>
              <w:rPr>
                <w:rFonts w:hint="eastAsia"/>
                <w:color w:val="auto"/>
                <w:highlight w:val="none"/>
              </w:rPr>
              <w:t>根据各投标人提供的人员配备情况（根据证书、经验等情况），专家进行评分打分</w:t>
            </w:r>
            <w:r>
              <w:rPr>
                <w:rFonts w:hint="eastAsia" w:ascii="宋体" w:hAnsi="宋体" w:cs="宋体"/>
                <w:color w:val="auto"/>
                <w:highlight w:val="none"/>
              </w:rPr>
              <w:t>：</w:t>
            </w:r>
          </w:p>
          <w:p>
            <w:pPr>
              <w:widowControl/>
              <w:spacing w:line="360" w:lineRule="exact"/>
              <w:rPr>
                <w:rFonts w:ascii="宋体" w:hAnsi="宋体" w:cs="宋体"/>
                <w:color w:val="auto"/>
                <w:highlight w:val="none"/>
              </w:rPr>
            </w:pPr>
            <w:r>
              <w:rPr>
                <w:rFonts w:hint="eastAsia" w:ascii="宋体" w:hAnsi="宋体" w:cs="宋体"/>
                <w:color w:val="auto"/>
                <w:highlight w:val="none"/>
              </w:rPr>
              <w:t>1、针对本项目情况，人员部署配备完善、整体能力高（包括项目经验、格证书等）的得1.4-2分；</w:t>
            </w:r>
          </w:p>
          <w:p>
            <w:pPr>
              <w:widowControl/>
              <w:spacing w:line="360" w:lineRule="exact"/>
              <w:rPr>
                <w:rFonts w:ascii="宋体" w:hAnsi="宋体" w:cs="宋体"/>
                <w:color w:val="auto"/>
                <w:highlight w:val="none"/>
              </w:rPr>
            </w:pPr>
            <w:r>
              <w:rPr>
                <w:rFonts w:hint="eastAsia" w:ascii="宋体" w:hAnsi="宋体" w:cs="宋体"/>
                <w:color w:val="auto"/>
                <w:highlight w:val="none"/>
              </w:rPr>
              <w:t>2、针对本项目情况，人员部署配备一般、整体能力中等（包括项目经验、证书等）的得0.7-1.3分；</w:t>
            </w:r>
          </w:p>
          <w:p>
            <w:pPr>
              <w:widowControl/>
              <w:spacing w:line="360" w:lineRule="exact"/>
              <w:rPr>
                <w:color w:val="auto"/>
                <w:highlight w:val="none"/>
              </w:rPr>
            </w:pPr>
            <w:r>
              <w:rPr>
                <w:rFonts w:hint="eastAsia" w:ascii="宋体" w:hAnsi="宋体" w:cs="宋体"/>
                <w:color w:val="auto"/>
                <w:highlight w:val="none"/>
              </w:rPr>
              <w:t>3、针对本项目情况，人员部署配备较差、整体能力一般（包括项目经验、证书等）的得0-0.6分。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同类产品           销售业绩（2分）</w:t>
            </w:r>
          </w:p>
        </w:tc>
        <w:tc>
          <w:tcPr>
            <w:tcW w:w="6730" w:type="dxa"/>
            <w:vAlign w:val="center"/>
          </w:tcPr>
          <w:p>
            <w:pPr>
              <w:adjustRightInd w:val="0"/>
              <w:spacing w:after="100" w:afterAutospacing="1" w:line="360" w:lineRule="exact"/>
              <w:rPr>
                <w:rFonts w:ascii="宋体" w:hAnsi="宋体" w:cs="宋体"/>
                <w:color w:val="auto"/>
                <w:kern w:val="0"/>
                <w:szCs w:val="21"/>
                <w:highlight w:val="none"/>
              </w:rPr>
            </w:pPr>
            <w:r>
              <w:rPr>
                <w:rFonts w:hint="eastAsia" w:ascii="宋体" w:hAnsi="宋体" w:cs="宋体"/>
                <w:color w:val="auto"/>
                <w:kern w:val="0"/>
                <w:szCs w:val="21"/>
                <w:highlight w:val="none"/>
              </w:rPr>
              <w:t>投标人自2020年1月1日以来同类项目的“合同+用户评价（至少良好）”或“合同+验收报告”，每提供一份有效证明材料得1分，最高得2分。（需提供相关证明材料原件扫描件并加盖电子公章，不提供不得分。）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质保期  （4分）</w:t>
            </w:r>
          </w:p>
        </w:tc>
        <w:tc>
          <w:tcPr>
            <w:tcW w:w="6730" w:type="dxa"/>
            <w:vAlign w:val="center"/>
          </w:tcPr>
          <w:p>
            <w:pPr>
              <w:adjustRightInd w:val="0"/>
              <w:spacing w:after="100" w:afterAutospacing="1" w:line="360" w:lineRule="exact"/>
              <w:rPr>
                <w:rFonts w:ascii="宋体" w:hAnsi="宋体" w:cs="宋体"/>
                <w:color w:val="auto"/>
                <w:szCs w:val="21"/>
                <w:highlight w:val="none"/>
              </w:rPr>
            </w:pPr>
            <w:r>
              <w:rPr>
                <w:rFonts w:hint="eastAsia" w:ascii="宋体" w:hAnsi="宋体" w:cs="宋体"/>
                <w:color w:val="auto"/>
                <w:szCs w:val="21"/>
                <w:highlight w:val="none"/>
              </w:rPr>
              <w:t>超过招标文件规定的质保期每增加一年得2分，最高得4分。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rPr>
                <w:rFonts w:ascii="宋体" w:hAnsi="宋体" w:cs="宋体"/>
                <w:b/>
                <w:color w:val="auto"/>
                <w:kern w:val="0"/>
                <w:szCs w:val="21"/>
                <w:highlight w:val="none"/>
              </w:rPr>
            </w:pPr>
            <w:r>
              <w:rPr>
                <w:rFonts w:hint="eastAsia" w:ascii="宋体" w:hAnsi="宋体" w:cs="宋体"/>
                <w:b/>
                <w:bCs/>
                <w:color w:val="auto"/>
                <w:szCs w:val="21"/>
                <w:highlight w:val="none"/>
              </w:rPr>
              <w:t>维保方案（3分）</w:t>
            </w:r>
          </w:p>
        </w:tc>
        <w:tc>
          <w:tcPr>
            <w:tcW w:w="6730" w:type="dxa"/>
            <w:vAlign w:val="center"/>
          </w:tcPr>
          <w:p>
            <w:pPr>
              <w:widowControl/>
              <w:spacing w:line="360" w:lineRule="exact"/>
              <w:rPr>
                <w:rFonts w:ascii="宋体" w:hAnsi="宋体" w:cs="宋体"/>
                <w:color w:val="auto"/>
                <w:highlight w:val="none"/>
              </w:rPr>
            </w:pPr>
            <w:r>
              <w:rPr>
                <w:rFonts w:hint="eastAsia"/>
                <w:color w:val="auto"/>
                <w:highlight w:val="none"/>
              </w:rPr>
              <w:t>根据各投标人提供的</w:t>
            </w:r>
            <w:r>
              <w:rPr>
                <w:rFonts w:hint="eastAsia"/>
                <w:color w:val="auto"/>
                <w:highlight w:val="none"/>
                <w:lang w:eastAsia="zh-CN"/>
              </w:rPr>
              <w:t>维保方案</w:t>
            </w:r>
            <w:r>
              <w:rPr>
                <w:rFonts w:hint="eastAsia"/>
                <w:color w:val="auto"/>
                <w:highlight w:val="none"/>
              </w:rPr>
              <w:t>，专家进行评分打分</w:t>
            </w:r>
            <w:r>
              <w:rPr>
                <w:rFonts w:hint="eastAsia" w:ascii="宋体" w:hAnsi="宋体" w:cs="宋体"/>
                <w:color w:val="auto"/>
                <w:highlight w:val="none"/>
              </w:rPr>
              <w:t>：</w:t>
            </w:r>
          </w:p>
          <w:p>
            <w:pPr>
              <w:widowControl/>
              <w:spacing w:line="36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olor w:val="auto"/>
                <w:szCs w:val="21"/>
                <w:highlight w:val="none"/>
              </w:rPr>
              <w:t>维保方案条款措施明确，满足招标需求的得2-3分；</w:t>
            </w:r>
          </w:p>
          <w:p>
            <w:pPr>
              <w:pStyle w:val="16"/>
              <w:spacing w:line="360" w:lineRule="exact"/>
              <w:ind w:firstLine="0" w:firstLineChars="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维保方案条款措施比较明确，基本满足招标需求的得1-1.9分；</w:t>
            </w:r>
          </w:p>
          <w:p>
            <w:pPr>
              <w:pStyle w:val="16"/>
              <w:spacing w:line="360" w:lineRule="exact"/>
              <w:ind w:firstLine="0" w:firstLineChars="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 xml:space="preserve">维保方案条款措施不够明确，少部分满足招标需求的得0.1-0.9分；                                                  </w:t>
            </w:r>
          </w:p>
          <w:p>
            <w:pPr>
              <w:pStyle w:val="16"/>
              <w:spacing w:line="360" w:lineRule="exact"/>
              <w:ind w:firstLine="0" w:firstLineChars="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4、</w:t>
            </w:r>
            <w:bookmarkStart w:id="152" w:name="_GoBack"/>
            <w:bookmarkEnd w:id="152"/>
            <w:r>
              <w:rPr>
                <w:rFonts w:hint="eastAsia" w:asciiTheme="minorEastAsia" w:hAnsiTheme="minorEastAsia" w:eastAsiaTheme="minorEastAsia"/>
                <w:color w:val="auto"/>
                <w:szCs w:val="21"/>
                <w:highlight w:val="none"/>
              </w:rPr>
              <w:t>维保方案条款措施满足不了招标需求的不得分。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售后   服务网点   （1分）</w:t>
            </w:r>
          </w:p>
        </w:tc>
        <w:tc>
          <w:tcPr>
            <w:tcW w:w="6730" w:type="dxa"/>
            <w:vAlign w:val="center"/>
          </w:tcPr>
          <w:p>
            <w:pPr>
              <w:pStyle w:val="2"/>
              <w:spacing w:line="360" w:lineRule="exact"/>
              <w:ind w:left="0" w:leftChars="0" w:firstLine="0" w:firstLineChars="0"/>
              <w:rPr>
                <w:color w:val="auto"/>
                <w:highlight w:val="none"/>
              </w:rPr>
            </w:pPr>
            <w:r>
              <w:rPr>
                <w:rFonts w:hint="eastAsia" w:ascii="宋体" w:hAnsi="宋体" w:cs="宋体"/>
                <w:color w:val="auto"/>
                <w:kern w:val="0"/>
                <w:szCs w:val="21"/>
                <w:highlight w:val="none"/>
              </w:rPr>
              <w:t>针对本项目有售后服务网点的得1分，无售后服务网点的不得分。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售后维护响应时间（2分）</w:t>
            </w:r>
          </w:p>
        </w:tc>
        <w:tc>
          <w:tcPr>
            <w:tcW w:w="6730" w:type="dxa"/>
            <w:vAlign w:val="center"/>
          </w:tcPr>
          <w:p>
            <w:pPr>
              <w:spacing w:line="340" w:lineRule="exact"/>
              <w:rPr>
                <w:rFonts w:ascii="宋体" w:hAnsi="宋体"/>
                <w:color w:val="auto"/>
                <w:szCs w:val="21"/>
                <w:highlight w:val="none"/>
              </w:rPr>
            </w:pPr>
            <w:r>
              <w:rPr>
                <w:rFonts w:hint="eastAsia"/>
                <w:color w:val="auto"/>
                <w:highlight w:val="none"/>
              </w:rPr>
              <w:t>售后</w:t>
            </w:r>
            <w:r>
              <w:rPr>
                <w:rFonts w:hint="eastAsia" w:ascii="宋体" w:hAnsi="宋体"/>
                <w:color w:val="auto"/>
                <w:szCs w:val="21"/>
                <w:highlight w:val="none"/>
              </w:rPr>
              <w:t xml:space="preserve">响应服务： </w:t>
            </w:r>
          </w:p>
          <w:p>
            <w:pPr>
              <w:spacing w:line="340" w:lineRule="exact"/>
              <w:rPr>
                <w:rFonts w:ascii="宋体" w:hAnsi="宋体"/>
                <w:color w:val="auto"/>
                <w:szCs w:val="21"/>
                <w:highlight w:val="none"/>
              </w:rPr>
            </w:pPr>
            <w:r>
              <w:rPr>
                <w:rFonts w:hint="eastAsia" w:ascii="宋体" w:hAnsi="宋体"/>
                <w:color w:val="auto"/>
                <w:szCs w:val="21"/>
                <w:highlight w:val="none"/>
              </w:rPr>
              <w:t xml:space="preserve">①承诺能提供7×24小时的电话响应售后服务； 承诺提供每年365天的专业技术支持服务，随时解答解决采购人问题； </w:t>
            </w:r>
          </w:p>
          <w:p>
            <w:pPr>
              <w:spacing w:line="340" w:lineRule="exact"/>
              <w:rPr>
                <w:rFonts w:ascii="宋体" w:hAnsi="宋体"/>
                <w:color w:val="auto"/>
                <w:szCs w:val="21"/>
                <w:highlight w:val="none"/>
              </w:rPr>
            </w:pPr>
            <w:r>
              <w:rPr>
                <w:rFonts w:hint="eastAsia" w:ascii="宋体" w:hAnsi="宋体"/>
                <w:color w:val="auto"/>
                <w:szCs w:val="21"/>
                <w:highlight w:val="none"/>
              </w:rPr>
              <w:t xml:space="preserve">②承诺出现一般性故障，接到维修通知后，在半小时内电话响应，在12小时内到达现场，在6小时内修复。 </w:t>
            </w:r>
          </w:p>
          <w:p>
            <w:pPr>
              <w:spacing w:line="340" w:lineRule="exact"/>
              <w:rPr>
                <w:rFonts w:hint="eastAsia" w:ascii="宋体" w:hAnsi="宋体" w:eastAsia="宋体" w:cs="宋体"/>
                <w:color w:val="auto"/>
                <w:szCs w:val="21"/>
                <w:highlight w:val="none"/>
                <w:lang w:val="en-US" w:eastAsia="zh-CN"/>
              </w:rPr>
            </w:pPr>
            <w:r>
              <w:rPr>
                <w:rFonts w:hint="eastAsia" w:ascii="宋体" w:hAnsi="宋体"/>
                <w:color w:val="auto"/>
                <w:szCs w:val="21"/>
                <w:highlight w:val="none"/>
              </w:rPr>
              <w:t>方案合理符合采购文件要求且以上内容提供承诺函的，每提供一项得1分，最高得2分</w:t>
            </w:r>
            <w:r>
              <w:rPr>
                <w:rFonts w:hint="eastAsia" w:ascii="宋体" w:hAnsi="宋体"/>
                <w:color w:val="auto"/>
                <w:szCs w:val="21"/>
                <w:highlight w:val="none"/>
                <w:lang w:val="en-US" w:eastAsia="zh-CN"/>
              </w:rPr>
              <w:t>,未提供不得分。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784" w:type="dxa"/>
            <w:vMerge w:val="continue"/>
            <w:vAlign w:val="center"/>
          </w:tcPr>
          <w:p>
            <w:pPr>
              <w:spacing w:line="440" w:lineRule="exact"/>
              <w:jc w:val="center"/>
              <w:rPr>
                <w:rFonts w:ascii="宋体" w:hAnsi="宋体" w:cs="宋体"/>
                <w:b/>
                <w:color w:val="auto"/>
                <w:kern w:val="0"/>
                <w:szCs w:val="21"/>
                <w:highlight w:val="none"/>
              </w:rPr>
            </w:pPr>
          </w:p>
        </w:tc>
        <w:tc>
          <w:tcPr>
            <w:tcW w:w="1082" w:type="dxa"/>
            <w:vAlign w:val="center"/>
          </w:tcPr>
          <w:p>
            <w:pPr>
              <w:spacing w:line="360" w:lineRule="exact"/>
              <w:jc w:val="center"/>
              <w:rPr>
                <w:rFonts w:ascii="宋体" w:hAnsi="宋体" w:cs="宋体"/>
                <w:b/>
                <w:color w:val="auto"/>
                <w:kern w:val="0"/>
                <w:szCs w:val="21"/>
                <w:highlight w:val="none"/>
              </w:rPr>
            </w:pPr>
            <w:r>
              <w:rPr>
                <w:rFonts w:hint="eastAsia" w:ascii="宋体" w:hAnsi="宋体" w:cs="宋体"/>
                <w:b/>
                <w:bCs/>
                <w:color w:val="auto"/>
                <w:szCs w:val="21"/>
                <w:highlight w:val="none"/>
              </w:rPr>
              <w:t>相关培训（3分</w:t>
            </w:r>
            <w:r>
              <w:rPr>
                <w:rFonts w:ascii="宋体" w:hAnsi="宋体" w:cs="宋体"/>
                <w:b/>
                <w:bCs/>
                <w:color w:val="auto"/>
                <w:szCs w:val="21"/>
                <w:highlight w:val="none"/>
              </w:rPr>
              <w:t>）</w:t>
            </w:r>
          </w:p>
        </w:tc>
        <w:tc>
          <w:tcPr>
            <w:tcW w:w="6730" w:type="dxa"/>
            <w:vAlign w:val="center"/>
          </w:tcPr>
          <w:p>
            <w:pPr>
              <w:widowControl/>
              <w:spacing w:line="3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投标人提供的可行合理的培训方案及培训计划：含培训方式、培训参加人员、培训内容、日程、课程安排等：</w:t>
            </w:r>
          </w:p>
          <w:p>
            <w:pPr>
              <w:adjustRightInd w:val="0"/>
              <w:spacing w:after="100" w:afterAutospacing="1" w:line="360" w:lineRule="exact"/>
              <w:contextualSpacing/>
              <w:jc w:val="left"/>
              <w:rPr>
                <w:rFonts w:ascii="宋体" w:hAnsi="宋体" w:cs="宋体"/>
                <w:color w:val="auto"/>
                <w:szCs w:val="21"/>
                <w:highlight w:val="none"/>
              </w:rPr>
            </w:pPr>
            <w:r>
              <w:rPr>
                <w:rFonts w:hint="eastAsia" w:ascii="宋体" w:hAnsi="宋体" w:cs="宋体"/>
                <w:color w:val="auto"/>
                <w:szCs w:val="21"/>
                <w:highlight w:val="none"/>
              </w:rPr>
              <w:t>（1）培训方案措施明确、培训人员安排非常周到、培训内容非常丰富、课程安排非常合理的得2.1-3分；</w:t>
            </w:r>
          </w:p>
          <w:p>
            <w:pPr>
              <w:adjustRightInd w:val="0"/>
              <w:spacing w:after="100" w:afterAutospacing="1" w:line="360" w:lineRule="exact"/>
              <w:contextualSpacing/>
              <w:jc w:val="left"/>
              <w:rPr>
                <w:rFonts w:ascii="宋体" w:hAnsi="宋体" w:cs="宋体"/>
                <w:color w:val="auto"/>
                <w:szCs w:val="21"/>
                <w:highlight w:val="none"/>
              </w:rPr>
            </w:pPr>
            <w:r>
              <w:rPr>
                <w:rFonts w:hint="eastAsia" w:ascii="宋体" w:hAnsi="宋体" w:cs="宋体"/>
                <w:color w:val="auto"/>
                <w:szCs w:val="21"/>
                <w:highlight w:val="none"/>
              </w:rPr>
              <w:t>（2）培训方案措施比较明确、培训人员安排比较周到、培训内容比较丰富、课程安排比较合理的得1.1-2分；</w:t>
            </w:r>
          </w:p>
          <w:p>
            <w:pPr>
              <w:adjustRightInd w:val="0"/>
              <w:spacing w:after="100" w:afterAutospacing="1" w:line="360" w:lineRule="exact"/>
              <w:contextualSpacing/>
              <w:jc w:val="left"/>
              <w:rPr>
                <w:rFonts w:ascii="宋体" w:hAnsi="宋体" w:cs="宋体"/>
                <w:color w:val="auto"/>
                <w:szCs w:val="21"/>
                <w:highlight w:val="none"/>
              </w:rPr>
            </w:pPr>
            <w:r>
              <w:rPr>
                <w:rFonts w:hint="eastAsia" w:ascii="宋体" w:hAnsi="宋体" w:cs="宋体"/>
                <w:color w:val="auto"/>
                <w:szCs w:val="21"/>
                <w:highlight w:val="none"/>
              </w:rPr>
              <w:t>（3）培训方案措施不够明确、培训人员安排不够周到、培训内容不够丰富、课程安排不够合理的得0.1-1分。                             （4）未提及此项的不得分。</w:t>
            </w:r>
          </w:p>
        </w:tc>
        <w:tc>
          <w:tcPr>
            <w:tcW w:w="759" w:type="dxa"/>
            <w:vAlign w:val="center"/>
          </w:tcPr>
          <w:p>
            <w:pPr>
              <w:adjustRightInd w:val="0"/>
              <w:spacing w:after="100" w:afterAutospacing="1" w:line="360" w:lineRule="exact"/>
              <w:jc w:val="center"/>
              <w:rPr>
                <w:rFonts w:ascii="宋体" w:hAnsi="宋体" w:cs="宋体"/>
                <w:color w:val="auto"/>
                <w:szCs w:val="21"/>
                <w:highlight w:val="none"/>
              </w:rPr>
            </w:pPr>
            <w:r>
              <w:rPr>
                <w:rFonts w:hint="eastAsia" w:ascii="宋体" w:hAnsi="宋体" w:cs="宋体"/>
                <w:color w:val="auto"/>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1866" w:type="dxa"/>
            <w:gridSpan w:val="2"/>
            <w:vAlign w:val="center"/>
          </w:tcPr>
          <w:p>
            <w:pPr>
              <w:autoSpaceDE w:val="0"/>
              <w:autoSpaceDN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价格</w:t>
            </w:r>
          </w:p>
          <w:p>
            <w:pPr>
              <w:autoSpaceDE w:val="0"/>
              <w:autoSpaceDN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30分</w:t>
            </w:r>
          </w:p>
        </w:tc>
        <w:tc>
          <w:tcPr>
            <w:tcW w:w="6730" w:type="dxa"/>
            <w:vAlign w:val="center"/>
          </w:tcPr>
          <w:p>
            <w:pPr>
              <w:spacing w:line="360" w:lineRule="exact"/>
              <w:rPr>
                <w:rFonts w:ascii="宋体" w:hAnsi="宋体" w:cs="宋体"/>
                <w:color w:val="auto"/>
                <w:kern w:val="0"/>
                <w:szCs w:val="21"/>
                <w:highlight w:val="none"/>
              </w:rPr>
            </w:pPr>
            <w:r>
              <w:rPr>
                <w:rFonts w:hint="eastAsia" w:ascii="宋体" w:hAnsi="宋体" w:cs="宋体"/>
                <w:color w:val="auto"/>
                <w:szCs w:val="21"/>
                <w:highlight w:val="none"/>
              </w:rPr>
              <w:t>以有效报价的最低价为基准价，其价格分为30分。其它投标人的价格分按照下列公式计算：投标报价得分=（评标基准价/投标报价）×30（小数点后保留2位小数）</w:t>
            </w:r>
          </w:p>
        </w:tc>
        <w:tc>
          <w:tcPr>
            <w:tcW w:w="759" w:type="dxa"/>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30分</w:t>
            </w:r>
          </w:p>
        </w:tc>
      </w:tr>
    </w:tbl>
    <w:p>
      <w:pPr>
        <w:autoSpaceDE w:val="0"/>
        <w:autoSpaceDN w:val="0"/>
        <w:adjustRightInd w:val="0"/>
        <w:spacing w:line="400" w:lineRule="exact"/>
        <w:rPr>
          <w:b/>
          <w:color w:val="auto"/>
          <w:szCs w:val="21"/>
          <w:highlight w:val="none"/>
        </w:rPr>
      </w:pPr>
      <w:r>
        <w:rPr>
          <w:rFonts w:hint="eastAsia"/>
          <w:b/>
          <w:color w:val="auto"/>
          <w:szCs w:val="21"/>
          <w:highlight w:val="none"/>
        </w:rPr>
        <w:t>(注：以上需提供的合同、证书、报告等各项证明需将原件扫描上传至投标文件，并加盖电子印章。评委打分保留1位小数)</w:t>
      </w:r>
    </w:p>
    <w:p>
      <w:pPr>
        <w:rPr>
          <w:color w:val="auto"/>
          <w:highlight w:val="none"/>
        </w:rPr>
      </w:pPr>
    </w:p>
    <w:p>
      <w:pPr>
        <w:pageBreakBefore/>
        <w:spacing w:line="480" w:lineRule="auto"/>
        <w:jc w:val="center"/>
        <w:outlineLvl w:val="0"/>
        <w:rPr>
          <w:rFonts w:asciiTheme="minorEastAsia" w:hAnsiTheme="minorEastAsia" w:eastAsiaTheme="minorEastAsia"/>
          <w:b/>
          <w:color w:val="auto"/>
          <w:sz w:val="32"/>
          <w:szCs w:val="32"/>
          <w:highlight w:val="none"/>
        </w:rPr>
      </w:pPr>
      <w:bookmarkStart w:id="81" w:name="_Toc16946"/>
      <w:bookmarkStart w:id="82" w:name="_Toc10462"/>
      <w:bookmarkStart w:id="83" w:name="_Toc15145"/>
      <w:bookmarkStart w:id="84" w:name="_Toc25191"/>
      <w:bookmarkStart w:id="85" w:name="_Toc15735"/>
      <w:bookmarkStart w:id="86" w:name="_Toc6241"/>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HYPERLINK "file:///F:\\微信\\WeChat%20Files\\a29023143\\FileStorage\\File\\2021-11\\台州市公安局特警支队最小作战单元装备建设采购项目10.28.docx" \l "●评分标准"</w:instrText>
      </w:r>
      <w:r>
        <w:rPr>
          <w:rFonts w:asciiTheme="minorEastAsia" w:hAnsiTheme="minorEastAsia" w:eastAsiaTheme="minorEastAsia"/>
          <w:color w:val="auto"/>
          <w:highlight w:val="none"/>
        </w:rPr>
        <w:fldChar w:fldCharType="separate"/>
      </w:r>
      <w:r>
        <w:rPr>
          <w:rFonts w:hint="eastAsia" w:asciiTheme="minorEastAsia" w:hAnsiTheme="minorEastAsia" w:eastAsiaTheme="minorEastAsia"/>
          <w:b/>
          <w:color w:val="auto"/>
          <w:sz w:val="32"/>
          <w:szCs w:val="32"/>
          <w:highlight w:val="none"/>
        </w:rPr>
        <w:t>第五部分</w:t>
      </w:r>
      <w:r>
        <w:rPr>
          <w:rFonts w:asciiTheme="minorEastAsia" w:hAnsiTheme="minorEastAsia" w:eastAsiaTheme="minorEastAsia"/>
          <w:b/>
          <w:color w:val="auto"/>
          <w:sz w:val="32"/>
          <w:szCs w:val="32"/>
          <w:highlight w:val="none"/>
        </w:rPr>
        <w:fldChar w:fldCharType="end"/>
      </w:r>
      <w:r>
        <w:rPr>
          <w:rFonts w:hint="eastAsia" w:asciiTheme="minorEastAsia" w:hAnsiTheme="minorEastAsia" w:eastAsiaTheme="minorEastAsia"/>
          <w:b/>
          <w:color w:val="auto"/>
          <w:sz w:val="32"/>
          <w:szCs w:val="32"/>
          <w:highlight w:val="none"/>
        </w:rPr>
        <w:t xml:space="preserve">  采购内容及要求</w:t>
      </w:r>
      <w:bookmarkEnd w:id="81"/>
      <w:bookmarkEnd w:id="82"/>
      <w:bookmarkEnd w:id="83"/>
      <w:bookmarkEnd w:id="84"/>
      <w:bookmarkEnd w:id="85"/>
      <w:bookmarkEnd w:id="86"/>
    </w:p>
    <w:p>
      <w:pPr>
        <w:tabs>
          <w:tab w:val="left" w:pos="8280"/>
        </w:tabs>
        <w:autoSpaceDE w:val="0"/>
        <w:autoSpaceDN w:val="0"/>
        <w:adjustRightInd w:val="0"/>
        <w:spacing w:line="360" w:lineRule="auto"/>
        <w:ind w:right="25"/>
        <w:rPr>
          <w:rFonts w:asciiTheme="minorEastAsia" w:hAnsiTheme="minorEastAsia" w:eastAsiaTheme="minorEastAsia"/>
          <w:color w:val="auto"/>
          <w:sz w:val="24"/>
          <w:highlight w:val="none"/>
        </w:rPr>
      </w:pPr>
      <w:bookmarkStart w:id="87" w:name="_Toc18152"/>
      <w:r>
        <w:rPr>
          <w:rFonts w:hint="eastAsia" w:asciiTheme="minorEastAsia" w:hAnsiTheme="minorEastAsia" w:eastAsiaTheme="minorEastAsia"/>
          <w:b/>
          <w:color w:val="auto"/>
          <w:sz w:val="24"/>
          <w:highlight w:val="none"/>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1.本次招标共</w:t>
      </w:r>
      <w:r>
        <w:rPr>
          <w:rFonts w:hint="eastAsia" w:asciiTheme="minorEastAsia" w:hAnsiTheme="minorEastAsia" w:eastAsiaTheme="minorEastAsia"/>
          <w:color w:val="auto"/>
          <w:szCs w:val="21"/>
          <w:highlight w:val="none"/>
          <w:u w:val="single"/>
        </w:rPr>
        <w:t>1</w:t>
      </w:r>
      <w:r>
        <w:rPr>
          <w:rFonts w:hint="eastAsia" w:asciiTheme="minorEastAsia" w:hAnsiTheme="minorEastAsia" w:eastAsiaTheme="minorEastAsia"/>
          <w:color w:val="auto"/>
          <w:szCs w:val="21"/>
          <w:highlight w:val="none"/>
        </w:rPr>
        <w:t>个标段，具体内容如下表：</w:t>
      </w:r>
    </w:p>
    <w:tbl>
      <w:tblPr>
        <w:tblStyle w:val="47"/>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797"/>
        <w:gridCol w:w="961"/>
        <w:gridCol w:w="691"/>
        <w:gridCol w:w="691"/>
        <w:gridCol w:w="1213"/>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836" w:type="dxa"/>
            <w:shd w:val="clear" w:color="auto" w:fill="EEECE1" w:themeFill="background2"/>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标段号</w:t>
            </w:r>
          </w:p>
        </w:tc>
        <w:tc>
          <w:tcPr>
            <w:tcW w:w="1797" w:type="dxa"/>
            <w:shd w:val="clear" w:color="auto" w:fill="EEECE1" w:themeFill="background2"/>
            <w:vAlign w:val="center"/>
          </w:tcPr>
          <w:p>
            <w:pPr>
              <w:tabs>
                <w:tab w:val="left" w:pos="8280"/>
              </w:tabs>
              <w:autoSpaceDE w:val="0"/>
              <w:autoSpaceDN w:val="0"/>
              <w:adjustRightInd w:val="0"/>
              <w:spacing w:line="360" w:lineRule="auto"/>
              <w:ind w:right="25" w:firstLine="105" w:firstLineChars="50"/>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项目名称</w:t>
            </w:r>
          </w:p>
        </w:tc>
        <w:tc>
          <w:tcPr>
            <w:tcW w:w="961" w:type="dxa"/>
            <w:shd w:val="clear" w:color="auto" w:fill="EEECE1" w:themeFill="background2"/>
            <w:vAlign w:val="center"/>
          </w:tcPr>
          <w:p>
            <w:pPr>
              <w:tabs>
                <w:tab w:val="left" w:pos="8280"/>
              </w:tabs>
              <w:autoSpaceDE w:val="0"/>
              <w:autoSpaceDN w:val="0"/>
              <w:adjustRightInd w:val="0"/>
              <w:spacing w:line="360" w:lineRule="auto"/>
              <w:ind w:right="25"/>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规格型号</w:t>
            </w:r>
          </w:p>
        </w:tc>
        <w:tc>
          <w:tcPr>
            <w:tcW w:w="691" w:type="dxa"/>
            <w:shd w:val="clear" w:color="auto" w:fill="EEECE1" w:themeFill="background2"/>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数量</w:t>
            </w:r>
          </w:p>
        </w:tc>
        <w:tc>
          <w:tcPr>
            <w:tcW w:w="691" w:type="dxa"/>
            <w:shd w:val="clear" w:color="auto" w:fill="EEECE1" w:themeFill="background2"/>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单位</w:t>
            </w:r>
          </w:p>
        </w:tc>
        <w:tc>
          <w:tcPr>
            <w:tcW w:w="1213" w:type="dxa"/>
            <w:shd w:val="clear" w:color="auto" w:fill="EEECE1" w:themeFill="background2"/>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预算</w:t>
            </w:r>
          </w:p>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（万元）</w:t>
            </w:r>
          </w:p>
        </w:tc>
        <w:tc>
          <w:tcPr>
            <w:tcW w:w="1559" w:type="dxa"/>
            <w:shd w:val="clear" w:color="auto" w:fill="EEECE1" w:themeFill="background2"/>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交货期</w:t>
            </w:r>
          </w:p>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（合同签订后几天内）</w:t>
            </w:r>
          </w:p>
        </w:tc>
        <w:tc>
          <w:tcPr>
            <w:tcW w:w="1450" w:type="dxa"/>
            <w:shd w:val="clear" w:color="auto" w:fill="EEECE1" w:themeFill="background2"/>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36" w:type="dxa"/>
            <w:vAlign w:val="center"/>
          </w:tcPr>
          <w:p>
            <w:pPr>
              <w:tabs>
                <w:tab w:val="left" w:pos="8280"/>
              </w:tabs>
              <w:autoSpaceDE w:val="0"/>
              <w:autoSpaceDN w:val="0"/>
              <w:adjustRightIn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797" w:type="dxa"/>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医学院</w:t>
            </w:r>
          </w:p>
          <w:p>
            <w:pPr>
              <w:widowControl/>
              <w:jc w:val="center"/>
              <w:rPr>
                <w:rFonts w:ascii="Times New Roman" w:hAnsi="宋体"/>
                <w:color w:val="auto"/>
                <w:szCs w:val="21"/>
                <w:highlight w:val="none"/>
              </w:rPr>
            </w:pPr>
            <w:r>
              <w:rPr>
                <w:rFonts w:hint="eastAsia" w:ascii="Times New Roman" w:hAnsi="宋体"/>
                <w:color w:val="auto"/>
                <w:szCs w:val="21"/>
                <w:highlight w:val="none"/>
              </w:rPr>
              <w:t>康复仪器设备</w:t>
            </w:r>
          </w:p>
        </w:tc>
        <w:tc>
          <w:tcPr>
            <w:tcW w:w="961" w:type="dxa"/>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c>
          <w:tcPr>
            <w:tcW w:w="691" w:type="dxa"/>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1</w:t>
            </w:r>
          </w:p>
        </w:tc>
        <w:tc>
          <w:tcPr>
            <w:tcW w:w="691" w:type="dxa"/>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批</w:t>
            </w:r>
          </w:p>
        </w:tc>
        <w:tc>
          <w:tcPr>
            <w:tcW w:w="1213" w:type="dxa"/>
            <w:vAlign w:val="center"/>
          </w:tcPr>
          <w:p>
            <w:pPr>
              <w:tabs>
                <w:tab w:val="left" w:pos="8280"/>
              </w:tabs>
              <w:autoSpaceDE w:val="0"/>
              <w:autoSpaceDN w:val="0"/>
              <w:adjustRightInd w:val="0"/>
              <w:jc w:val="center"/>
              <w:rPr>
                <w:rFonts w:ascii="Times New Roman" w:hAnsi="宋体"/>
                <w:color w:val="auto"/>
                <w:szCs w:val="21"/>
                <w:highlight w:val="none"/>
              </w:rPr>
            </w:pPr>
            <w:r>
              <w:rPr>
                <w:rFonts w:hint="eastAsia" w:ascii="Times New Roman" w:hAnsi="宋体"/>
                <w:color w:val="auto"/>
                <w:szCs w:val="21"/>
                <w:highlight w:val="none"/>
              </w:rPr>
              <w:t>102</w:t>
            </w:r>
          </w:p>
        </w:tc>
        <w:tc>
          <w:tcPr>
            <w:tcW w:w="1559" w:type="dxa"/>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30日历天</w:t>
            </w:r>
          </w:p>
        </w:tc>
        <w:tc>
          <w:tcPr>
            <w:tcW w:w="1450" w:type="dxa"/>
            <w:vAlign w:val="center"/>
          </w:tcPr>
          <w:p>
            <w:pPr>
              <w:tabs>
                <w:tab w:val="left" w:pos="8280"/>
              </w:tabs>
              <w:autoSpaceDE w:val="0"/>
              <w:autoSpaceDN w:val="0"/>
              <w:adjustRightInd w:val="0"/>
              <w:jc w:val="center"/>
              <w:rPr>
                <w:rFonts w:ascii="Times New Roman" w:hAnsi="宋体"/>
                <w:color w:val="auto"/>
                <w:szCs w:val="21"/>
                <w:highlight w:val="none"/>
              </w:rPr>
            </w:pPr>
            <w:r>
              <w:rPr>
                <w:rFonts w:hint="eastAsia" w:ascii="Times New Roman" w:hAnsi="宋体"/>
                <w:color w:val="auto"/>
                <w:szCs w:val="21"/>
                <w:highlight w:val="none"/>
              </w:rPr>
              <w:t>台州学院椒江校区</w:t>
            </w:r>
          </w:p>
        </w:tc>
      </w:tr>
    </w:tbl>
    <w:p>
      <w:pPr>
        <w:snapToGrid w:val="0"/>
        <w:spacing w:line="360" w:lineRule="auto"/>
        <w:outlineLvl w:val="0"/>
        <w:rPr>
          <w:rFonts w:asciiTheme="minorEastAsia" w:hAnsiTheme="minorEastAsia" w:eastAsiaTheme="minorEastAsia"/>
          <w:color w:val="auto"/>
          <w:szCs w:val="21"/>
          <w:highlight w:val="none"/>
        </w:rPr>
      </w:pPr>
    </w:p>
    <w:p>
      <w:pPr>
        <w:snapToGrid w:val="0"/>
        <w:spacing w:line="360" w:lineRule="auto"/>
        <w:ind w:firstLine="210" w:firstLineChars="100"/>
        <w:outlineLvl w:val="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2.设备清单</w:t>
      </w:r>
    </w:p>
    <w:tbl>
      <w:tblPr>
        <w:tblStyle w:val="47"/>
        <w:tblpPr w:leftFromText="180" w:rightFromText="180" w:vertAnchor="text" w:horzAnchor="page" w:tblpX="1421" w:tblpY="399"/>
        <w:tblOverlap w:val="never"/>
        <w:tblW w:w="9251" w:type="dxa"/>
        <w:tblInd w:w="0" w:type="dxa"/>
        <w:tblLayout w:type="fixed"/>
        <w:tblCellMar>
          <w:top w:w="0" w:type="dxa"/>
          <w:left w:w="108" w:type="dxa"/>
          <w:bottom w:w="0" w:type="dxa"/>
          <w:right w:w="108" w:type="dxa"/>
        </w:tblCellMar>
      </w:tblPr>
      <w:tblGrid>
        <w:gridCol w:w="970"/>
        <w:gridCol w:w="2824"/>
        <w:gridCol w:w="1974"/>
        <w:gridCol w:w="1286"/>
        <w:gridCol w:w="1134"/>
        <w:gridCol w:w="1063"/>
      </w:tblGrid>
      <w:tr>
        <w:tblPrEx>
          <w:tblCellMar>
            <w:top w:w="0" w:type="dxa"/>
            <w:left w:w="108" w:type="dxa"/>
            <w:bottom w:w="0" w:type="dxa"/>
            <w:right w:w="108" w:type="dxa"/>
          </w:tblCellMar>
        </w:tblPrEx>
        <w:trPr>
          <w:trHeight w:val="721" w:hRule="atLeast"/>
        </w:trPr>
        <w:tc>
          <w:tcPr>
            <w:tcW w:w="970" w:type="dxa"/>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jc w:val="center"/>
              <w:rPr>
                <w:rFonts w:ascii="Times New Roman" w:hAnsi="宋体"/>
                <w:b/>
                <w:bCs/>
                <w:color w:val="auto"/>
                <w:szCs w:val="21"/>
                <w:highlight w:val="none"/>
              </w:rPr>
            </w:pPr>
            <w:r>
              <w:rPr>
                <w:rFonts w:hint="eastAsia" w:ascii="Times New Roman" w:hAnsi="宋体"/>
                <w:b/>
                <w:bCs/>
                <w:color w:val="auto"/>
                <w:szCs w:val="21"/>
                <w:highlight w:val="none"/>
              </w:rPr>
              <w:t>序号</w:t>
            </w:r>
          </w:p>
        </w:tc>
        <w:tc>
          <w:tcPr>
            <w:tcW w:w="2824" w:type="dxa"/>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jc w:val="center"/>
              <w:rPr>
                <w:rFonts w:ascii="Times New Roman" w:hAnsi="宋体"/>
                <w:b/>
                <w:bCs/>
                <w:color w:val="auto"/>
                <w:szCs w:val="21"/>
                <w:highlight w:val="none"/>
              </w:rPr>
            </w:pPr>
            <w:r>
              <w:rPr>
                <w:rFonts w:hint="eastAsia" w:ascii="Times New Roman" w:hAnsi="宋体"/>
                <w:b/>
                <w:bCs/>
                <w:color w:val="auto"/>
                <w:szCs w:val="21"/>
                <w:highlight w:val="none"/>
              </w:rPr>
              <w:t>设备名称</w:t>
            </w:r>
          </w:p>
        </w:tc>
        <w:tc>
          <w:tcPr>
            <w:tcW w:w="1974" w:type="dxa"/>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jc w:val="center"/>
              <w:rPr>
                <w:rFonts w:ascii="Times New Roman" w:hAnsi="宋体"/>
                <w:b/>
                <w:bCs/>
                <w:color w:val="auto"/>
                <w:szCs w:val="21"/>
                <w:highlight w:val="none"/>
              </w:rPr>
            </w:pPr>
            <w:r>
              <w:rPr>
                <w:rFonts w:hint="eastAsia" w:ascii="Times New Roman" w:hAnsi="宋体"/>
                <w:b/>
                <w:bCs/>
                <w:color w:val="auto"/>
                <w:szCs w:val="21"/>
                <w:highlight w:val="none"/>
              </w:rPr>
              <w:t>规格型号</w:t>
            </w:r>
          </w:p>
        </w:tc>
        <w:tc>
          <w:tcPr>
            <w:tcW w:w="1286" w:type="dxa"/>
            <w:tcBorders>
              <w:top w:val="single" w:color="000000" w:sz="4" w:space="0"/>
              <w:left w:val="nil"/>
              <w:right w:val="single" w:color="000000" w:sz="4" w:space="0"/>
            </w:tcBorders>
            <w:shd w:val="clear" w:color="auto" w:fill="EEECE1" w:themeFill="background2"/>
            <w:vAlign w:val="center"/>
          </w:tcPr>
          <w:p>
            <w:pPr>
              <w:jc w:val="center"/>
              <w:rPr>
                <w:rFonts w:ascii="Times New Roman" w:hAnsi="宋体"/>
                <w:b/>
                <w:bCs/>
                <w:color w:val="auto"/>
                <w:szCs w:val="21"/>
                <w:highlight w:val="none"/>
              </w:rPr>
            </w:pPr>
            <w:r>
              <w:rPr>
                <w:rFonts w:hint="eastAsia" w:ascii="Times New Roman" w:hAnsi="宋体"/>
                <w:b/>
                <w:bCs/>
                <w:color w:val="auto"/>
                <w:szCs w:val="21"/>
                <w:highlight w:val="none"/>
              </w:rPr>
              <w:t>数量</w:t>
            </w:r>
          </w:p>
        </w:tc>
        <w:tc>
          <w:tcPr>
            <w:tcW w:w="1134" w:type="dxa"/>
            <w:tcBorders>
              <w:top w:val="single" w:color="000000" w:sz="4" w:space="0"/>
              <w:left w:val="nil"/>
              <w:right w:val="single" w:color="000000" w:sz="4" w:space="0"/>
            </w:tcBorders>
            <w:shd w:val="clear" w:color="auto" w:fill="EEECE1" w:themeFill="background2"/>
            <w:vAlign w:val="center"/>
          </w:tcPr>
          <w:p>
            <w:pPr>
              <w:jc w:val="center"/>
              <w:rPr>
                <w:rFonts w:ascii="Times New Roman" w:hAnsi="宋体"/>
                <w:b/>
                <w:bCs/>
                <w:color w:val="auto"/>
                <w:szCs w:val="21"/>
                <w:highlight w:val="none"/>
              </w:rPr>
            </w:pPr>
            <w:r>
              <w:rPr>
                <w:rFonts w:hint="eastAsia" w:ascii="Times New Roman" w:hAnsi="宋体"/>
                <w:b/>
                <w:bCs/>
                <w:color w:val="auto"/>
                <w:szCs w:val="21"/>
                <w:highlight w:val="none"/>
              </w:rPr>
              <w:t>单位</w:t>
            </w:r>
          </w:p>
        </w:tc>
        <w:tc>
          <w:tcPr>
            <w:tcW w:w="1063" w:type="dxa"/>
            <w:tcBorders>
              <w:top w:val="single" w:color="000000" w:sz="4" w:space="0"/>
              <w:left w:val="nil"/>
              <w:right w:val="single" w:color="000000" w:sz="4" w:space="0"/>
            </w:tcBorders>
            <w:shd w:val="clear" w:color="auto" w:fill="EEECE1" w:themeFill="background2"/>
            <w:vAlign w:val="center"/>
          </w:tcPr>
          <w:p>
            <w:pPr>
              <w:jc w:val="center"/>
              <w:rPr>
                <w:rFonts w:ascii="Times New Roman" w:hAnsi="宋体"/>
                <w:b/>
                <w:bCs/>
                <w:color w:val="auto"/>
                <w:szCs w:val="21"/>
                <w:highlight w:val="none"/>
              </w:rPr>
            </w:pPr>
            <w:r>
              <w:rPr>
                <w:rFonts w:hint="eastAsia" w:ascii="Times New Roman" w:hAnsi="宋体"/>
                <w:b/>
                <w:bCs/>
                <w:color w:val="auto"/>
                <w:szCs w:val="21"/>
                <w:highlight w:val="none"/>
              </w:rPr>
              <w:t>备注</w:t>
            </w:r>
          </w:p>
        </w:tc>
      </w:tr>
      <w:tr>
        <w:tblPrEx>
          <w:tblCellMar>
            <w:top w:w="0" w:type="dxa"/>
            <w:left w:w="108" w:type="dxa"/>
            <w:bottom w:w="0" w:type="dxa"/>
            <w:right w:w="108" w:type="dxa"/>
          </w:tblCellMar>
        </w:tblPrEx>
        <w:trPr>
          <w:trHeight w:val="357" w:hRule="atLeast"/>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1</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全身三维步态与运动分析系</w:t>
            </w:r>
          </w:p>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（工作站）</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c>
          <w:tcPr>
            <w:tcW w:w="1286"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270000元</w:t>
            </w:r>
          </w:p>
        </w:tc>
        <w:tc>
          <w:tcPr>
            <w:tcW w:w="1134"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w:t>
            </w:r>
          </w:p>
        </w:tc>
        <w:tc>
          <w:tcPr>
            <w:tcW w:w="1063"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台</w:t>
            </w:r>
          </w:p>
        </w:tc>
      </w:tr>
      <w:tr>
        <w:tblPrEx>
          <w:tblCellMar>
            <w:top w:w="0" w:type="dxa"/>
            <w:left w:w="108" w:type="dxa"/>
            <w:bottom w:w="0" w:type="dxa"/>
            <w:right w:w="108" w:type="dxa"/>
          </w:tblCellMar>
        </w:tblPrEx>
        <w:trPr>
          <w:trHeight w:val="357" w:hRule="atLeast"/>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2</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无线运动传感器</w:t>
            </w:r>
          </w:p>
        </w:tc>
        <w:tc>
          <w:tcPr>
            <w:tcW w:w="19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200000元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台</w:t>
            </w:r>
          </w:p>
        </w:tc>
      </w:tr>
      <w:tr>
        <w:tblPrEx>
          <w:tblCellMar>
            <w:top w:w="0" w:type="dxa"/>
            <w:left w:w="108" w:type="dxa"/>
            <w:bottom w:w="0" w:type="dxa"/>
            <w:right w:w="108" w:type="dxa"/>
          </w:tblCellMar>
        </w:tblPrEx>
        <w:trPr>
          <w:trHeight w:val="357" w:hRule="atLeast"/>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3</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表面肌电反馈仪</w:t>
            </w:r>
          </w:p>
        </w:tc>
        <w:tc>
          <w:tcPr>
            <w:tcW w:w="19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250000元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台</w:t>
            </w:r>
          </w:p>
        </w:tc>
      </w:tr>
      <w:tr>
        <w:tblPrEx>
          <w:tblCellMar>
            <w:top w:w="0" w:type="dxa"/>
            <w:left w:w="108" w:type="dxa"/>
            <w:bottom w:w="0" w:type="dxa"/>
            <w:right w:w="108" w:type="dxa"/>
          </w:tblCellMar>
        </w:tblPrEx>
        <w:trPr>
          <w:trHeight w:val="357" w:hRule="atLeast"/>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4</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脊柱尺</w:t>
            </w:r>
          </w:p>
        </w:tc>
        <w:tc>
          <w:tcPr>
            <w:tcW w:w="19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150000元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台</w:t>
            </w:r>
          </w:p>
        </w:tc>
      </w:tr>
      <w:tr>
        <w:tblPrEx>
          <w:tblCellMar>
            <w:top w:w="0" w:type="dxa"/>
            <w:left w:w="108" w:type="dxa"/>
            <w:bottom w:w="0" w:type="dxa"/>
            <w:right w:w="108" w:type="dxa"/>
          </w:tblCellMar>
        </w:tblPrEx>
        <w:trPr>
          <w:trHeight w:val="357" w:hRule="atLeast"/>
        </w:trPr>
        <w:tc>
          <w:tcPr>
            <w:tcW w:w="9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5</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体外冲击波治疗系统</w:t>
            </w:r>
          </w:p>
        </w:tc>
        <w:tc>
          <w:tcPr>
            <w:tcW w:w="1974" w:type="dxa"/>
            <w:tcBorders>
              <w:top w:val="single" w:color="000000" w:sz="4" w:space="0"/>
              <w:left w:val="single" w:color="000000" w:sz="4" w:space="0"/>
              <w:bottom w:val="single" w:color="000000" w:sz="4" w:space="0"/>
              <w:right w:val="single" w:color="auto" w:sz="4" w:space="0"/>
            </w:tcBorders>
            <w:vAlign w:val="center"/>
          </w:tcPr>
          <w:tbl>
            <w:tblPr>
              <w:tblStyle w:val="47"/>
              <w:tblW w:w="8517" w:type="dxa"/>
              <w:jc w:val="center"/>
              <w:tblLayout w:type="fixed"/>
              <w:tblCellMar>
                <w:top w:w="0" w:type="dxa"/>
                <w:left w:w="108" w:type="dxa"/>
                <w:bottom w:w="0" w:type="dxa"/>
                <w:right w:w="108" w:type="dxa"/>
              </w:tblCellMar>
            </w:tblPr>
            <w:tblGrid>
              <w:gridCol w:w="8517"/>
            </w:tblGrid>
            <w:tr>
              <w:tblPrEx>
                <w:tblCellMar>
                  <w:top w:w="0" w:type="dxa"/>
                  <w:left w:w="108" w:type="dxa"/>
                  <w:bottom w:w="0" w:type="dxa"/>
                  <w:right w:w="108" w:type="dxa"/>
                </w:tblCellMar>
              </w:tblPrEx>
              <w:trPr>
                <w:trHeight w:val="388" w:hRule="atLeast"/>
                <w:jc w:val="center"/>
              </w:trPr>
              <w:tc>
                <w:tcPr>
                  <w:tcW w:w="1532" w:type="dxa"/>
                  <w:tcBorders>
                    <w:top w:val="nil"/>
                    <w:left w:val="single" w:color="000000" w:sz="4" w:space="0"/>
                    <w:bottom w:val="nil"/>
                    <w:right w:val="nil"/>
                  </w:tcBorders>
                  <w:vAlign w:val="center"/>
                </w:tcPr>
                <w:p>
                  <w:pPr>
                    <w:widowControl/>
                    <w:jc w:val="center"/>
                    <w:rPr>
                      <w:rFonts w:ascii="Times New Roman" w:hAnsi="宋体"/>
                      <w:color w:val="auto"/>
                      <w:szCs w:val="21"/>
                      <w:highlight w:val="none"/>
                    </w:rPr>
                  </w:pPr>
                  <w:r>
                    <w:rPr>
                      <w:rFonts w:hint="eastAsia" w:ascii="Times New Roman" w:hAnsi="宋体"/>
                      <w:color w:val="auto"/>
                      <w:szCs w:val="21"/>
                      <w:highlight w:val="none"/>
                    </w:rPr>
                    <w:t>详见技术需求</w:t>
                  </w:r>
                </w:p>
              </w:tc>
            </w:tr>
          </w:tbl>
          <w:p>
            <w:pPr>
              <w:widowControl/>
              <w:jc w:val="center"/>
              <w:rPr>
                <w:rFonts w:ascii="Times New Roman" w:hAnsi="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150000元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1</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宋体"/>
                <w:color w:val="auto"/>
                <w:szCs w:val="21"/>
                <w:highlight w:val="none"/>
              </w:rPr>
            </w:pPr>
            <w:r>
              <w:rPr>
                <w:rFonts w:hint="eastAsia" w:ascii="Times New Roman" w:hAnsi="宋体"/>
                <w:color w:val="auto"/>
                <w:szCs w:val="21"/>
                <w:highlight w:val="none"/>
              </w:rPr>
              <w:t>台</w:t>
            </w:r>
          </w:p>
        </w:tc>
      </w:tr>
    </w:tbl>
    <w:p>
      <w:pPr>
        <w:tabs>
          <w:tab w:val="left" w:pos="8280"/>
        </w:tabs>
        <w:autoSpaceDE w:val="0"/>
        <w:autoSpaceDN w:val="0"/>
        <w:adjustRightInd w:val="0"/>
        <w:spacing w:line="360" w:lineRule="auto"/>
        <w:ind w:right="25"/>
        <w:rPr>
          <w:rFonts w:asciiTheme="minorEastAsia" w:hAnsiTheme="minorEastAsia" w:eastAsiaTheme="minorEastAsia"/>
          <w:b/>
          <w:color w:val="auto"/>
          <w:sz w:val="24"/>
          <w:highlight w:val="none"/>
        </w:rPr>
      </w:pPr>
    </w:p>
    <w:p>
      <w:pPr>
        <w:tabs>
          <w:tab w:val="left" w:pos="8280"/>
        </w:tabs>
        <w:autoSpaceDE w:val="0"/>
        <w:autoSpaceDN w:val="0"/>
        <w:adjustRightInd w:val="0"/>
        <w:spacing w:line="360" w:lineRule="auto"/>
        <w:ind w:right="2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二、技术需求</w:t>
      </w:r>
    </w:p>
    <w:tbl>
      <w:tblPr>
        <w:tblStyle w:val="47"/>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477"/>
        <w:gridCol w:w="1476"/>
        <w:gridCol w:w="7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shd w:val="clear" w:color="auto" w:fill="EEECE1"/>
            <w:noWrap w:val="0"/>
            <w:vAlign w:val="center"/>
          </w:tcPr>
          <w:p>
            <w:pPr>
              <w:keepNext w:val="0"/>
              <w:keepLines w:val="0"/>
              <w:pageBreakBefore w:val="0"/>
              <w:kinsoku/>
              <w:wordWrap/>
              <w:overflowPunct/>
              <w:topLinePunct w:val="0"/>
              <w:autoSpaceDE/>
              <w:autoSpaceDN/>
              <w:bidi w:val="0"/>
              <w:adjustRightInd/>
              <w:snapToGrid w:val="0"/>
              <w:spacing w:line="300" w:lineRule="exact"/>
              <w:jc w:val="center"/>
              <w:outlineLvl w:val="0"/>
              <w:rPr>
                <w:rFonts w:hint="eastAsia" w:ascii="宋体" w:hAnsi="宋体" w:eastAsia="宋体" w:cs="宋体"/>
                <w:color w:val="auto"/>
                <w:sz w:val="21"/>
                <w:szCs w:val="21"/>
                <w:highlight w:val="none"/>
              </w:rPr>
            </w:pPr>
            <w:bookmarkStart w:id="88" w:name="_Toc177870557"/>
            <w:r>
              <w:rPr>
                <w:rFonts w:hint="eastAsia" w:ascii="宋体" w:hAnsi="宋体" w:eastAsia="宋体" w:cs="宋体"/>
                <w:color w:val="auto"/>
                <w:sz w:val="21"/>
                <w:szCs w:val="21"/>
                <w:highlight w:val="none"/>
              </w:rPr>
              <w:t>序号</w:t>
            </w:r>
          </w:p>
        </w:tc>
        <w:tc>
          <w:tcPr>
            <w:tcW w:w="1476" w:type="dxa"/>
            <w:shd w:val="clear" w:color="auto" w:fill="EEECE1"/>
            <w:noWrap w:val="0"/>
            <w:vAlign w:val="center"/>
          </w:tcPr>
          <w:p>
            <w:pPr>
              <w:keepNext w:val="0"/>
              <w:keepLines w:val="0"/>
              <w:pageBreakBefore w:val="0"/>
              <w:kinsoku/>
              <w:wordWrap/>
              <w:overflowPunct/>
              <w:topLinePunct w:val="0"/>
              <w:autoSpaceDE/>
              <w:autoSpaceDN/>
              <w:bidi w:val="0"/>
              <w:adjustRightInd/>
              <w:snapToGrid w:val="0"/>
              <w:spacing w:line="30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设备名称</w:t>
            </w:r>
          </w:p>
        </w:tc>
        <w:tc>
          <w:tcPr>
            <w:tcW w:w="7265" w:type="dxa"/>
            <w:shd w:val="clear" w:color="auto" w:fill="EEECE1"/>
            <w:noWrap w:val="0"/>
            <w:vAlign w:val="center"/>
          </w:tcPr>
          <w:p>
            <w:pPr>
              <w:keepNext w:val="0"/>
              <w:keepLines w:val="0"/>
              <w:pageBreakBefore w:val="0"/>
              <w:kinsoku/>
              <w:wordWrap/>
              <w:overflowPunct/>
              <w:topLinePunct w:val="0"/>
              <w:autoSpaceDE/>
              <w:autoSpaceDN/>
              <w:bidi w:val="0"/>
              <w:adjustRightInd/>
              <w:snapToGrid w:val="0"/>
              <w:spacing w:line="30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noWrap w:val="0"/>
            <w:vAlign w:val="center"/>
          </w:tcPr>
          <w:p>
            <w:pPr>
              <w:keepNext w:val="0"/>
              <w:keepLines w:val="0"/>
              <w:pageBreakBefore w:val="0"/>
              <w:kinsoku/>
              <w:wordWrap/>
              <w:overflowPunct/>
              <w:topLinePunct w:val="0"/>
              <w:autoSpaceDE/>
              <w:autoSpaceDN/>
              <w:bidi w:val="0"/>
              <w:adjustRightInd/>
              <w:snapToGrid w:val="0"/>
              <w:spacing w:line="30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476" w:type="dxa"/>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全身三维步态与运动分析系</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（工作站）</w:t>
            </w:r>
          </w:p>
        </w:tc>
        <w:tc>
          <w:tcPr>
            <w:tcW w:w="7265"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1、含可移动一体化主机台车、显示器及支架，内置全身三维步态分析软件；</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★2、无需步态采集鞋，可实时自动记录</w:t>
            </w: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个传感器采集的步态波形和数据；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3、可实时自动分析计算多种步态参数（如各关节三维角度变化、步伐大小、速度、频率、支撑和摆动相数据、步伐均匀度和左右脚均匀度等），并提供标准数据和波形比较；</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4、具有全身三维动作捕捉功能，能选择不同视角实时显示受试者全身三维姿态；</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5、可检测/录制/编辑/回放受试者全身三维姿态动作；</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6、可检测/录制/编辑/回放受试者每个关节运动波形和数据；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7、可以不同格式输出动作捕捉数据；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8、基于内嵌式数据库管理的受试者资料系统，含有当日测试记录和大量受试者的历史信息和步态数据；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9、允许用户自行选取合适的步态时间段进行数据分析；</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10、自动生成测试报告；</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11、根据用户选择，自动统计和导出同一受试者历史评估数据；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12、根据用户选择，自动统计和导出多个不同受试者评估数据；</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13、具有轻便移动、无线高速、适应性强的特点；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476"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无线运动传感器</w:t>
            </w:r>
          </w:p>
        </w:tc>
        <w:tc>
          <w:tcPr>
            <w:tcW w:w="7265"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★1、同时检测上肢、下肢、头部、躯干等全身关节运动同时检测；</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★2、配置至少17个传感器，同时各传感器之间没有导线连接；</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3、重量：≤20g/个</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4、尺寸：直径≤44mm, 厚度≤16mm；</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5、动态范围：</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630" w:firstLineChars="3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角度全方位360度；角速度+/- 2000 dps；加速度+/-16g；</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6、角度测量分辨率：0.02 deg； </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7、工作电源；3.7VDC,可充电锂聚合物电池；</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8、最大更新速率：至少60帧每秒（FPS）；</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9、路由器通过 USB2.0 接口与工作站进行数据传输；</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10、内含无线传输模块；通讯距离室内</w:t>
            </w:r>
            <w:r>
              <w:rPr>
                <w:rFonts w:hint="eastAsia" w:ascii="宋体" w:hAnsi="宋体" w:eastAsia="宋体" w:cs="宋体"/>
                <w:color w:val="auto"/>
                <w:sz w:val="21"/>
                <w:szCs w:val="21"/>
                <w:highlight w:val="none"/>
                <w:lang w:val="en-US" w:eastAsia="zh-CN"/>
              </w:rPr>
              <w:t>至少</w:t>
            </w:r>
            <w:r>
              <w:rPr>
                <w:rFonts w:hint="eastAsia" w:ascii="宋体" w:hAnsi="宋体" w:eastAsia="宋体" w:cs="宋体"/>
                <w:color w:val="auto"/>
                <w:sz w:val="21"/>
                <w:szCs w:val="21"/>
                <w:highlight w:val="none"/>
              </w:rPr>
              <w:t xml:space="preserve"> 50 米；室外</w:t>
            </w:r>
            <w:r>
              <w:rPr>
                <w:rFonts w:hint="eastAsia" w:ascii="宋体" w:hAnsi="宋体" w:eastAsia="宋体" w:cs="宋体"/>
                <w:color w:val="auto"/>
                <w:sz w:val="21"/>
                <w:szCs w:val="21"/>
                <w:highlight w:val="none"/>
                <w:lang w:val="en-US" w:eastAsia="zh-CN"/>
              </w:rPr>
              <w:t>至少</w:t>
            </w:r>
            <w:r>
              <w:rPr>
                <w:rFonts w:hint="eastAsia" w:ascii="宋体" w:hAnsi="宋体" w:eastAsia="宋体" w:cs="宋体"/>
                <w:color w:val="auto"/>
                <w:sz w:val="21"/>
                <w:szCs w:val="21"/>
                <w:highlight w:val="none"/>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476"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表面肌电反馈仪</w:t>
            </w:r>
          </w:p>
        </w:tc>
        <w:tc>
          <w:tcPr>
            <w:tcW w:w="7265"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★1、集成式硬件结构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仅由可移动一体化台车主机和电极（医用导联线、电极片）2个部分组成；</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具有专业的多通道表面肌电采集分析功能和多通道肌电生物反馈电刺激功能；可单通道或2至4通道同时进行肌电采集和实时肌电波形显示，并进行时域分析（AEMG和RMS)、频域分析（MF、MPF、MFs、MPFs)；可进行肌电生物反馈电刺激治疗，可自由选择单通道或2至4通道同时输出电刺激</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★3、具有表面肌电非线性分析（L-Z复杂度）功能</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4、技术参数：</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系统噪声：小于1uV；</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分辨率：0.1uV；</w:t>
            </w:r>
            <w:r>
              <w:rPr>
                <w:rFonts w:hint="eastAsia" w:ascii="宋体" w:hAnsi="宋体" w:eastAsia="宋体" w:cs="宋体"/>
                <w:color w:val="auto"/>
                <w:sz w:val="21"/>
                <w:szCs w:val="21"/>
                <w:highlight w:val="none"/>
              </w:rPr>
              <w:tab/>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★表面肌电放大器含有数字滤波器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通频带宽：15Hz--1000Hz</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共模抑制比：≥110dB。</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5、电刺激器技术参数：</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★刺激波形：单向波、对称双向波、非对称双向波；</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刺激频率：10Hz—100Hz</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刺激波宽：100us—1000us</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波升和波降时间：0—15s</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恒流输出范围：0—60mAp</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★6、内置至少53个常见的神经损伤表面肌电标准化评测方案，适用于所有神经损伤（如脑卒中、脑外伤、脊髓损伤、脑瘫、脑炎、面瘫、吞咽障碍、呼吸功能等中枢神经损伤以及周围神经损</w:t>
            </w:r>
            <w:r>
              <w:rPr>
                <w:rFonts w:hint="eastAsia" w:ascii="宋体" w:hAnsi="宋体" w:eastAsia="宋体" w:cs="宋体"/>
                <w:color w:val="auto"/>
                <w:sz w:val="21"/>
                <w:szCs w:val="21"/>
                <w:highlight w:val="none"/>
                <w:lang w:val="en-US"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楷体_GB2312" w:cs="宋体"/>
                <w:color w:val="auto"/>
                <w:sz w:val="21"/>
                <w:szCs w:val="21"/>
                <w:highlight w:val="none"/>
                <w:lang w:eastAsia="zh-CN"/>
              </w:rPr>
            </w:pPr>
            <w:r>
              <w:rPr>
                <w:rFonts w:hint="eastAsia" w:ascii="宋体" w:hAnsi="宋体" w:eastAsia="宋体" w:cs="宋体"/>
                <w:color w:val="auto"/>
                <w:sz w:val="21"/>
                <w:szCs w:val="21"/>
                <w:highlight w:val="none"/>
              </w:rPr>
              <w:t>★7、内置至少6个常见的颈椎病表面肌电标准化评测方案</w:t>
            </w:r>
            <w:r>
              <w:rPr>
                <w:rFonts w:hint="eastAsia" w:ascii="宋体" w:hAnsi="宋体" w:eastAsia="宋体" w:cs="宋体"/>
                <w:color w:val="auto"/>
                <w:sz w:val="21"/>
                <w:szCs w:val="21"/>
                <w:highlight w:val="none"/>
                <w:lang w:eastAsia="zh-CN"/>
              </w:rPr>
              <w:t>，包括</w:t>
            </w:r>
            <w:r>
              <w:rPr>
                <w:rFonts w:hint="eastAsia" w:ascii="宋体" w:hAnsi="宋体" w:eastAsia="宋体" w:cs="宋体"/>
                <w:color w:val="auto"/>
                <w:sz w:val="21"/>
                <w:szCs w:val="21"/>
                <w:highlight w:val="none"/>
              </w:rPr>
              <w:t>颈部最大肌电值测试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颈部胸锁乳突肌肌耐力测试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颈椎旁肌最大肌电值、肌耐力测试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颈部肌肉协调性测试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颈屈曲放松试验</w:t>
            </w:r>
            <w:r>
              <w:rPr>
                <w:rFonts w:hint="eastAsia" w:ascii="宋体" w:hAnsi="宋体" w:eastAsia="宋体" w:cs="宋体"/>
                <w:color w:val="auto"/>
                <w:sz w:val="21"/>
                <w:szCs w:val="21"/>
                <w:highlight w:val="none"/>
                <w:lang w:eastAsia="zh-CN"/>
              </w:rPr>
              <w:t>等；</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★8、内置至少3个常见的下腰痛/腰椎间盘突出表面肌电标准化评测方案</w:t>
            </w:r>
            <w:r>
              <w:rPr>
                <w:rFonts w:hint="eastAsia" w:ascii="宋体" w:hAnsi="宋体" w:eastAsia="宋体" w:cs="宋体"/>
                <w:color w:val="auto"/>
                <w:sz w:val="21"/>
                <w:szCs w:val="21"/>
                <w:highlight w:val="none"/>
                <w:lang w:eastAsia="zh-CN"/>
              </w:rPr>
              <w:t>，包括</w:t>
            </w:r>
            <w:r>
              <w:rPr>
                <w:rFonts w:hint="eastAsia" w:ascii="宋体" w:hAnsi="宋体" w:eastAsia="宋体" w:cs="宋体"/>
                <w:color w:val="auto"/>
                <w:sz w:val="21"/>
                <w:szCs w:val="21"/>
                <w:highlight w:val="none"/>
              </w:rPr>
              <w:t>下腰屈曲放松试验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腰背肌肌力间接评价(最大肌电值)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腰背肌肌耐力测试</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 xml:space="preserve">             </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eastAsia="zh-CN"/>
              </w:rPr>
              <w:t>可设置</w:t>
            </w:r>
            <w:r>
              <w:rPr>
                <w:rFonts w:hint="eastAsia" w:ascii="宋体" w:hAnsi="宋体" w:eastAsia="宋体" w:cs="宋体"/>
                <w:color w:val="auto"/>
                <w:sz w:val="21"/>
                <w:szCs w:val="21"/>
                <w:highlight w:val="none"/>
              </w:rPr>
              <w:t>自定义方案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主要针对以上方案之外的肌肉或肌群进行功能评测，自定义方案可以储存并形成新的方案，满足各种评测需求。</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★10、肌电触发生物反馈电刺激：内置多种趣味化游戏，通过测试最大肌电值，设置触发阈值，使患者主动参与游戏，实现主被动训练。训练时具有语音提示功能。</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★11、具有FES、TENS、NMES功能模块：能进行功能性电刺激和经皮神经肌肉电刺激治疗。</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12、全中文操作界面。</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lang w:val="en-US" w:eastAsia="zh-CN"/>
              </w:rPr>
              <w:t>能够</w:t>
            </w:r>
            <w:r>
              <w:rPr>
                <w:rFonts w:hint="eastAsia" w:ascii="宋体" w:hAnsi="宋体" w:eastAsia="宋体" w:cs="宋体"/>
                <w:color w:val="auto"/>
                <w:sz w:val="21"/>
                <w:szCs w:val="21"/>
                <w:highlight w:val="none"/>
              </w:rPr>
              <w:t>海量患者数据储存，自动生成并打印报告。</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14、具有二类医疗器械注册证。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需提供证书复印件并加盖公章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476"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脊柱尺</w:t>
            </w:r>
          </w:p>
        </w:tc>
        <w:tc>
          <w:tcPr>
            <w:tcW w:w="7265"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可测量内容14项：躯干倾斜角测量、脊柱后凸（驼背）测量、颈椎侧向弯曲测量、胸椎侧向弯曲测量、腰椎侧向弯曲测量、颈椎前屈后伸测量、胸椎前屈后伸测量、腰椎前屈后伸测量、颈椎水平旋转测量、胸椎水平旋转测量、腰椎水平旋转测量、头部平衡测量、肩部平衡测量、腰部平衡测量</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2、单项测量时间﹤15S；</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3、测量角度范围：0--179º；</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4、测量准确度：±1.5º；</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210" w:firstLineChars="1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5、通过蓝牙传输，计算机与主机在无障碍的情况下至少接收距离为3米；</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★6、彩色触摸屏测量主机：测量项目触摸屏上点选，测量主机屏幕可显示电量及充电指示、Type-C充电器接口方便用户匹配。</w:t>
            </w:r>
            <w:r>
              <w:rPr>
                <w:rFonts w:hint="eastAsia" w:ascii="宋体" w:hAnsi="宋体" w:eastAsia="宋体" w:cs="宋体"/>
                <w:color w:val="auto"/>
                <w:sz w:val="21"/>
                <w:szCs w:val="21"/>
                <w:highlight w:val="none"/>
                <w:lang w:eastAsia="zh-CN"/>
              </w:rPr>
              <w:t>具有</w:t>
            </w:r>
            <w:r>
              <w:rPr>
                <w:rFonts w:hint="eastAsia" w:ascii="宋体" w:hAnsi="宋体" w:eastAsia="宋体" w:cs="宋体"/>
                <w:color w:val="auto"/>
                <w:sz w:val="21"/>
                <w:szCs w:val="21"/>
                <w:highlight w:val="none"/>
              </w:rPr>
              <w:t>智能化语音提示</w:t>
            </w:r>
            <w:r>
              <w:rPr>
                <w:rFonts w:hint="eastAsia" w:ascii="宋体" w:hAnsi="宋体" w:eastAsia="宋体" w:cs="宋体"/>
                <w:color w:val="auto"/>
                <w:sz w:val="21"/>
                <w:szCs w:val="21"/>
                <w:highlight w:val="none"/>
                <w:lang w:eastAsia="zh-CN"/>
              </w:rPr>
              <w:t>功能</w:t>
            </w:r>
            <w:r>
              <w:rPr>
                <w:rFonts w:hint="eastAsia" w:ascii="宋体" w:hAnsi="宋体" w:eastAsia="宋体" w:cs="宋体"/>
                <w:color w:val="auto"/>
                <w:sz w:val="21"/>
                <w:szCs w:val="21"/>
                <w:highlight w:val="none"/>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★7、软件自动分析，报告单除正常显示十四项测量项目外，其中躯干倾斜角测量项目要明确显示正常、侧弯I度、侧弯II度、侧弯III度等指标。</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在测量躯干倾斜角项目时，报告单明确显示胸段、胸腰段、腰段数据。如果测量数据异常，进行运动试验后二次测量，报告单可同时显示第一次异常数据及运动实验后的共两次胸段、胸腰段、腰段测量结果。</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9、设备具有报警功能：当测量时间超出10秒设备会有报警提示。</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★10、软件具有新建、查找、删除病例、Excel表格批量导入、导出病例功能。</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软件具有自动诊断，身份证识别功能：连接身份证阅读器，刷取被测者身份证即可显示被测者姓名、性别、出生日期等信息；支持条形码扫描功能：软件根据被测者资料生成条形码，连接条码打印机可提前打印条形码，连接扫码枪扫描条形码可调取被测者信息；</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12、软件具有科室、诊断医生、诊断信息的模板添加功能。</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软件具有单项报告单、整体报告单的预览、打印、无限批量报告单打印功能，批量打印时可在病例管理内根据测量时间段对需要批量打印的病例进行筛选，批量打印对病例数无限制、报告结论修改编辑功能。</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★14、支持联网及数据库的备份和还原功能。 </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15、具有实用新型专利和外观专利证书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需提供证书复印件并加盖公章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170" w:type="dxa"/>
            <w:right w:w="108" w:type="dxa"/>
          </w:tblCellMar>
        </w:tblPrEx>
        <w:trPr>
          <w:jc w:val="center"/>
        </w:trPr>
        <w:tc>
          <w:tcPr>
            <w:tcW w:w="477"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476"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体外冲击波治疗系统</w:t>
            </w:r>
          </w:p>
        </w:tc>
        <w:tc>
          <w:tcPr>
            <w:tcW w:w="7265" w:type="dxa"/>
            <w:noWrap w:val="0"/>
            <w:vAlign w:val="center"/>
          </w:tcPr>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供电电源：220VAC，50/60Hz</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额定功率：800VA</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设备样式：立式机，由主机、立式台车（内含空压机）、冲击手柄组成</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冲击波产生方式：气压弹道式</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压缩机:采用无油式环保压缩机，低震动、低噪音，空压机最大输出压力可达5bar以上</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冲击波输出路数：单路输出，连接一把治疗手柄</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冲击波频率范围：0.5-21Hz，1Hz以内步进0.1Hz，1Hz以上步进1Hz</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冲击波压力范围：1-5Bar，步进0.1Bar</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冲击波能量密度范围：0.1-0.9mJ/㎟，其中最大能量密度可达0.9mJ/㎟</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冲击波穿透深度：最大穿透深度可达35mm</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冲击波次数：具有计数和显示功能</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人机交互界面:</w:t>
            </w:r>
            <w:r>
              <w:rPr>
                <w:rFonts w:hint="eastAsia" w:ascii="宋体" w:hAnsi="宋体" w:eastAsia="宋体" w:cs="宋体"/>
                <w:color w:val="auto"/>
                <w:sz w:val="21"/>
                <w:szCs w:val="21"/>
                <w:highlight w:val="none"/>
                <w:lang w:val="en-US" w:eastAsia="zh-CN"/>
              </w:rPr>
              <w:t>至少</w:t>
            </w:r>
            <w:r>
              <w:rPr>
                <w:rFonts w:hint="eastAsia" w:ascii="宋体" w:hAnsi="宋体" w:eastAsia="宋体" w:cs="宋体"/>
                <w:color w:val="auto"/>
                <w:sz w:val="21"/>
                <w:szCs w:val="21"/>
                <w:highlight w:val="none"/>
              </w:rPr>
              <w:t>10寸高清中文彩色液晶触摸屏；内建冲击波治疗指引，以肌肉骨骼透视图指引治疗部位，指明治疗区域及扳机点，准确引导治疗施行</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疼痛阈值自动识别技术:可根据患者实际情况以平稳的能流密度递增形式，将能量逐渐递增至最佳治能量（即疼痛阈值），增强患者对冲击波治疗的依从性</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治疗手柄通过</w:t>
            </w:r>
            <w:r>
              <w:rPr>
                <w:rFonts w:hint="eastAsia" w:ascii="宋体" w:hAnsi="宋体" w:eastAsia="宋体" w:cs="宋体"/>
                <w:color w:val="auto"/>
                <w:sz w:val="21"/>
                <w:szCs w:val="21"/>
                <w:highlight w:val="none"/>
                <w:lang w:eastAsia="zh-CN"/>
              </w:rPr>
              <w:t>国标标准</w:t>
            </w:r>
            <w:r>
              <w:rPr>
                <w:rFonts w:hint="eastAsia" w:ascii="宋体" w:hAnsi="宋体" w:eastAsia="宋体" w:cs="宋体"/>
                <w:color w:val="auto"/>
                <w:sz w:val="21"/>
                <w:szCs w:val="21"/>
                <w:highlight w:val="none"/>
              </w:rPr>
              <w:t>的振动检测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需提供</w:t>
            </w:r>
            <w:r>
              <w:rPr>
                <w:rFonts w:hint="eastAsia" w:ascii="宋体" w:hAnsi="宋体" w:eastAsia="宋体" w:cs="宋体"/>
                <w:color w:val="auto"/>
                <w:sz w:val="21"/>
                <w:szCs w:val="21"/>
                <w:highlight w:val="none"/>
              </w:rPr>
              <w:t>检测报告</w:t>
            </w:r>
            <w:r>
              <w:rPr>
                <w:rFonts w:hint="eastAsia" w:ascii="宋体" w:hAnsi="宋体" w:eastAsia="宋体" w:cs="宋体"/>
                <w:color w:val="auto"/>
                <w:sz w:val="21"/>
                <w:szCs w:val="21"/>
                <w:highlight w:val="none"/>
                <w:lang w:val="en-US" w:eastAsia="zh-CN"/>
              </w:rPr>
              <w:t>复印件并加盖公章</w:t>
            </w:r>
            <w:r>
              <w:rPr>
                <w:rFonts w:hint="eastAsia" w:ascii="宋体" w:hAnsi="宋体" w:eastAsia="宋体" w:cs="宋体"/>
                <w:color w:val="auto"/>
                <w:sz w:val="21"/>
                <w:szCs w:val="21"/>
                <w:highlight w:val="none"/>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治疗头生物相容性：标配治疗头通过生物相容性检测</w:t>
            </w:r>
            <w:r>
              <w:rPr>
                <w:rFonts w:hint="eastAsia" w:ascii="宋体" w:hAnsi="宋体" w:eastAsia="宋体" w:cs="宋体"/>
                <w:color w:val="auto"/>
                <w:sz w:val="21"/>
                <w:szCs w:val="21"/>
                <w:highlight w:val="none"/>
                <w:lang w:eastAsia="zh-CN"/>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此产品通过国际冲击波疗法大会（ISMST）认证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需提供证书复印件并加盖公章</w:t>
            </w:r>
            <w:r>
              <w:rPr>
                <w:rFonts w:hint="eastAsia" w:ascii="宋体" w:hAnsi="宋体" w:eastAsia="宋体" w:cs="宋体"/>
                <w:color w:val="auto"/>
                <w:sz w:val="21"/>
                <w:szCs w:val="21"/>
                <w:highlight w:val="none"/>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产品通过欧盟CE认证，符合欧盟的安规要求和电磁兼容要求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需提供证书复印件并加盖公章</w:t>
            </w:r>
            <w:r>
              <w:rPr>
                <w:rFonts w:hint="eastAsia" w:ascii="宋体" w:hAnsi="宋体" w:eastAsia="宋体" w:cs="宋体"/>
                <w:color w:val="auto"/>
                <w:sz w:val="21"/>
                <w:szCs w:val="21"/>
                <w:highlight w:val="none"/>
              </w:rPr>
              <w:t>）</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冲击波治疗头: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D15治疗头：15mm治疗头  D35治疗头：35mm治疗头</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选配：(1)治疗头升级套装：</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R15治疗头：15mm治疗头  H20治疗头：20mm治疗头</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F15治疗头：15mm治疗头  A06治疗头：6mm治疗头</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(2)按摩功能：配有按摩手柄，按摩头25mm，按摩频率0.5-35Hz可调，</w:t>
            </w:r>
          </w:p>
          <w:p>
            <w:pPr>
              <w:pStyle w:val="15"/>
              <w:keepNext w:val="0"/>
              <w:keepLines w:val="0"/>
              <w:pageBreakBefore w:val="0"/>
              <w:widowControl/>
              <w:tabs>
                <w:tab w:val="left" w:pos="454"/>
                <w:tab w:val="left" w:pos="720"/>
                <w:tab w:val="left" w:pos="899"/>
              </w:tabs>
              <w:kinsoku/>
              <w:wordWrap/>
              <w:overflowPunct/>
              <w:topLinePunct w:val="0"/>
              <w:autoSpaceDE/>
              <w:autoSpaceDN/>
              <w:bidi w:val="0"/>
              <w:adjustRightInd/>
              <w:spacing w:line="300" w:lineRule="exact"/>
              <w:ind w:left="0" w:firstLine="0" w:firstLine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有效松解粘连或痉挛</w:t>
            </w:r>
          </w:p>
        </w:tc>
      </w:tr>
      <w:bookmarkEnd w:id="88"/>
    </w:tbl>
    <w:p>
      <w:pPr>
        <w:spacing w:line="360" w:lineRule="auto"/>
        <w:rPr>
          <w:rFonts w:hint="eastAsia" w:asciiTheme="minorEastAsia" w:hAnsiTheme="minorEastAsia" w:eastAsiaTheme="minorEastAsia"/>
          <w:b/>
          <w:color w:val="auto"/>
          <w:sz w:val="24"/>
          <w:highlight w:val="none"/>
        </w:rPr>
      </w:pP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商务需求</w:t>
      </w:r>
    </w:p>
    <w:tbl>
      <w:tblPr>
        <w:tblStyle w:val="47"/>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付款条件</w:t>
            </w:r>
          </w:p>
        </w:tc>
        <w:tc>
          <w:tcPr>
            <w:tcW w:w="7047" w:type="dxa"/>
            <w:tcBorders>
              <w:top w:val="single" w:color="auto" w:sz="4" w:space="0"/>
              <w:left w:val="single" w:color="auto" w:sz="4" w:space="0"/>
              <w:bottom w:val="single" w:color="auto" w:sz="4" w:space="0"/>
              <w:right w:val="single" w:color="auto" w:sz="4" w:space="0"/>
            </w:tcBorders>
            <w:vAlign w:val="center"/>
          </w:tcPr>
          <w:p>
            <w:pPr>
              <w:snapToGrid w:val="0"/>
              <w:spacing w:before="120" w:after="120" w:line="312" w:lineRule="auto"/>
              <w:outlineLvl w:val="0"/>
              <w:rPr>
                <w:rFonts w:ascii="宋体" w:hAnsi="宋体" w:cs="宋体"/>
                <w:color w:val="auto"/>
                <w:szCs w:val="21"/>
                <w:highlight w:val="none"/>
              </w:rPr>
            </w:pPr>
            <w:r>
              <w:rPr>
                <w:rFonts w:hint="eastAsia" w:ascii="Times New Roman" w:hAnsi="Times New Roman"/>
                <w:color w:val="auto"/>
                <w:highlight w:val="none"/>
              </w:rPr>
              <w:t>合同签订后，</w:t>
            </w:r>
            <w:r>
              <w:rPr>
                <w:rFonts w:hint="eastAsia" w:hAnsi="宋体" w:cs="宋体"/>
                <w:color w:val="auto"/>
                <w:highlight w:val="none"/>
              </w:rPr>
              <w:t>采购人向中标供应商</w:t>
            </w:r>
            <w:r>
              <w:rPr>
                <w:rFonts w:hint="eastAsia" w:ascii="Times New Roman" w:hAnsi="Times New Roman"/>
                <w:color w:val="auto"/>
                <w:highlight w:val="none"/>
              </w:rPr>
              <w:t>支付50%的合同款项作为预付款；采购的货物到位后，</w:t>
            </w:r>
            <w:r>
              <w:rPr>
                <w:rFonts w:hint="eastAsia" w:hAnsi="宋体" w:cs="宋体"/>
                <w:color w:val="auto"/>
                <w:highlight w:val="none"/>
              </w:rPr>
              <w:t>中标供应商</w:t>
            </w:r>
            <w:r>
              <w:rPr>
                <w:rFonts w:hint="eastAsia" w:ascii="Times New Roman" w:hAnsi="Times New Roman"/>
                <w:color w:val="auto"/>
                <w:highlight w:val="none"/>
              </w:rPr>
              <w:t>安装调试完成，经台州学院该项目验收小组组织验收，验收合格后，在</w:t>
            </w:r>
            <w:r>
              <w:rPr>
                <w:rFonts w:hint="eastAsia" w:hAnsi="宋体" w:cs="宋体"/>
                <w:color w:val="auto"/>
                <w:highlight w:val="none"/>
              </w:rPr>
              <w:t>中标供应商</w:t>
            </w:r>
            <w:r>
              <w:rPr>
                <w:rFonts w:hint="eastAsia" w:ascii="Times New Roman" w:hAnsi="Times New Roman"/>
                <w:color w:val="auto"/>
                <w:highlight w:val="none"/>
              </w:rPr>
              <w:t>票证齐全，且符合</w:t>
            </w:r>
            <w:r>
              <w:rPr>
                <w:rFonts w:hint="eastAsia" w:hAnsi="宋体" w:cs="宋体"/>
                <w:color w:val="auto"/>
                <w:highlight w:val="none"/>
              </w:rPr>
              <w:t>采购人</w:t>
            </w:r>
            <w:r>
              <w:rPr>
                <w:rFonts w:hint="eastAsia" w:ascii="Times New Roman" w:hAnsi="Times New Roman"/>
                <w:color w:val="auto"/>
                <w:highlight w:val="none"/>
              </w:rPr>
              <w:t>付款流程的前提下，</w:t>
            </w:r>
            <w:r>
              <w:rPr>
                <w:rFonts w:hint="eastAsia" w:hAnsi="宋体" w:cs="宋体"/>
                <w:color w:val="auto"/>
                <w:highlight w:val="none"/>
              </w:rPr>
              <w:t>采购人</w:t>
            </w:r>
            <w:r>
              <w:rPr>
                <w:rFonts w:hint="eastAsia" w:ascii="Times New Roman" w:hAnsi="Times New Roman"/>
                <w:color w:val="auto"/>
                <w:highlight w:val="none"/>
              </w:rPr>
              <w:t>一次性付清剩余款项。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质保期及履约保金</w:t>
            </w:r>
          </w:p>
        </w:tc>
        <w:tc>
          <w:tcPr>
            <w:tcW w:w="7047" w:type="dxa"/>
            <w:tcBorders>
              <w:top w:val="single" w:color="auto" w:sz="4" w:space="0"/>
              <w:left w:val="single" w:color="auto" w:sz="4" w:space="0"/>
              <w:bottom w:val="single" w:color="auto" w:sz="4" w:space="0"/>
              <w:right w:val="single" w:color="auto" w:sz="4" w:space="0"/>
            </w:tcBorders>
            <w:vAlign w:val="center"/>
          </w:tcPr>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（1）质保期：</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年及以上；</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合同签订前，中标人应先缴纳合同总金额1%的履约保证金，合同履行结束（或验收合格后），如无质量、服务投诉和索赔，该款项无息返还。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售后技术服务要求</w:t>
            </w:r>
          </w:p>
        </w:tc>
        <w:tc>
          <w:tcPr>
            <w:tcW w:w="7047" w:type="dxa"/>
            <w:tcBorders>
              <w:top w:val="single" w:color="auto" w:sz="4" w:space="0"/>
              <w:left w:val="single" w:color="auto" w:sz="4" w:space="0"/>
              <w:bottom w:val="single" w:color="auto" w:sz="4" w:space="0"/>
              <w:right w:val="single" w:color="auto" w:sz="4" w:space="0"/>
            </w:tcBorders>
            <w:vAlign w:val="center"/>
          </w:tcPr>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（1）合同生效后，仪器制造商（或代理商）对安装仪器的实验室工作条件应提出具体要求，并在安装前予以确认。</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（2）提供的产品须为原装正品，相关的配套附件质量优良，数量齐全，并在标书中注明可选配件的价格。</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（3）仪器到达用户指定交货地点后，根据用户的时间安排，仪器制造商（或代理商）在接到用户通知后30天内进行安装调试，直至通过验收。</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（4）仪器安装调试合格后，仪器制造商（或代理商）负责对用户技术人员（至少2人）进行免费现场培训，培训内容包括仪器的性能、原理、操作、保养和维护等，培训日程视实际情况另定。</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（5）质保期过后，仪器制造商（或代理商）对仪器提供终身维修服务，能提供广泛、即时、优惠的技术服务，并提供质量上乘、价格合理的各种配件。</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（6）保证供应仪器质保期后3年内所需的备品、备件；须给出详细清单（品名、货号、生产厂家、数量、价格等）。</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7）在国内有维修中心，有专职维修工程师和备品备件库。质保期内如有问题接电后2小时内给与答复，24小时内派员赶赴现场予以解决。质保期外，制造商（或代理商）应在4小时内作出响应，2个工作日内到达用户现场维修，一般故障应在24小时内修复，重大故障应在72小时内修复。</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（8）仪器制造商（或代理商）终身免费提供应用咨询及技术帮助，质保期内，易损件和外购件根据原厂家质保期和国家质保标准保修，属人为因素酌情收取材料费。质保期外实行有偿服务。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交货时间</w:t>
            </w:r>
          </w:p>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及地点</w:t>
            </w:r>
          </w:p>
        </w:tc>
        <w:tc>
          <w:tcPr>
            <w:tcW w:w="7047" w:type="dxa"/>
            <w:tcBorders>
              <w:top w:val="single" w:color="auto" w:sz="4" w:space="0"/>
              <w:left w:val="single" w:color="auto" w:sz="4" w:space="0"/>
              <w:bottom w:val="single" w:color="auto" w:sz="4" w:space="0"/>
              <w:right w:val="single" w:color="auto" w:sz="4" w:space="0"/>
            </w:tcBorders>
          </w:tcPr>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时间：合同签订后非进口产品</w:t>
            </w:r>
            <w:r>
              <w:rPr>
                <w:rFonts w:ascii="宋体" w:hAnsi="宋体" w:cs="宋体"/>
                <w:color w:val="auto"/>
                <w:szCs w:val="21"/>
                <w:highlight w:val="none"/>
              </w:rPr>
              <w:t>30日历天内交货</w:t>
            </w:r>
            <w:r>
              <w:rPr>
                <w:rFonts w:hint="eastAsia" w:ascii="宋体" w:hAnsi="宋体" w:cs="宋体"/>
                <w:color w:val="auto"/>
                <w:szCs w:val="21"/>
                <w:highlight w:val="none"/>
              </w:rPr>
              <w:t>。</w:t>
            </w:r>
          </w:p>
          <w:p>
            <w:pPr>
              <w:snapToGrid w:val="0"/>
              <w:spacing w:before="120" w:after="120" w:line="312" w:lineRule="auto"/>
              <w:outlineLvl w:val="0"/>
              <w:rPr>
                <w:rFonts w:ascii="宋体" w:hAnsi="宋体" w:cs="宋体"/>
                <w:color w:val="auto"/>
                <w:szCs w:val="21"/>
                <w:highlight w:val="none"/>
              </w:rPr>
            </w:pPr>
            <w:r>
              <w:rPr>
                <w:rFonts w:hint="eastAsia" w:ascii="宋体" w:hAnsi="宋体" w:cs="宋体"/>
                <w:color w:val="auto"/>
                <w:szCs w:val="21"/>
                <w:highlight w:val="none"/>
              </w:rPr>
              <w:t xml:space="preserve">地点：台州学院椒江校区      </w:t>
            </w:r>
          </w:p>
        </w:tc>
      </w:tr>
    </w:tbl>
    <w:p>
      <w:pPr>
        <w:snapToGrid w:val="0"/>
        <w:spacing w:line="360" w:lineRule="auto"/>
        <w:outlineLvl w:val="0"/>
        <w:rPr>
          <w:rFonts w:asciiTheme="minorEastAsia" w:hAnsiTheme="minorEastAsia" w:eastAsiaTheme="minorEastAsia" w:cstheme="minorBidi"/>
          <w:b/>
          <w:color w:val="auto"/>
          <w:sz w:val="24"/>
          <w:highlight w:val="none"/>
        </w:rPr>
      </w:pPr>
    </w:p>
    <w:p>
      <w:pPr>
        <w:autoSpaceDE w:val="0"/>
        <w:autoSpaceDN w:val="0"/>
        <w:adjustRightInd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四、相关说明</w:t>
      </w:r>
    </w:p>
    <w:p>
      <w:pPr>
        <w:autoSpaceDE w:val="0"/>
        <w:autoSpaceDN w:val="0"/>
        <w:adjustRightInd w:val="0"/>
        <w:snapToGrid w:val="0"/>
        <w:spacing w:line="360" w:lineRule="auto"/>
        <w:rPr>
          <w:rFonts w:cs="Arial"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1、</w:t>
      </w:r>
      <w:r>
        <w:rPr>
          <w:rFonts w:hint="eastAsia" w:asciiTheme="minorEastAsia" w:hAnsiTheme="minorEastAsia" w:eastAsiaTheme="minorEastAsia"/>
          <w:b/>
          <w:color w:val="auto"/>
          <w:kern w:val="0"/>
          <w:szCs w:val="21"/>
          <w:highlight w:val="none"/>
        </w:rPr>
        <w:t>现场勘察：</w:t>
      </w:r>
      <w:r>
        <w:rPr>
          <w:rFonts w:hint="eastAsia" w:cs="Arial" w:asciiTheme="minorEastAsia" w:hAnsiTheme="minorEastAsia" w:eastAsiaTheme="minorEastAsia"/>
          <w:color w:val="auto"/>
          <w:szCs w:val="21"/>
          <w:highlight w:val="none"/>
        </w:rPr>
        <w:t>无</w:t>
      </w:r>
    </w:p>
    <w:p>
      <w:pPr>
        <w:autoSpaceDE w:val="0"/>
        <w:autoSpaceDN w:val="0"/>
        <w:adjustRightInd w:val="0"/>
        <w:snapToGrid w:val="0"/>
        <w:spacing w:line="360" w:lineRule="auto"/>
        <w:rPr>
          <w:rFonts w:cs="Arial"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2</w:t>
      </w:r>
      <w:r>
        <w:rPr>
          <w:rFonts w:hint="eastAsia" w:cs="Arial" w:asciiTheme="minorEastAsia" w:hAnsiTheme="minorEastAsia" w:eastAsiaTheme="minorEastAsia"/>
          <w:color w:val="auto"/>
          <w:szCs w:val="21"/>
          <w:highlight w:val="none"/>
        </w:rPr>
        <w:t>、</w:t>
      </w:r>
      <w:r>
        <w:rPr>
          <w:rFonts w:hint="eastAsia" w:ascii="宋体"/>
          <w:color w:val="auto"/>
          <w:kern w:val="0"/>
          <w:szCs w:val="21"/>
          <w:highlight w:val="none"/>
        </w:rPr>
        <w:t>▲所有设备均采用人民币报价。本项目的成交报价应包含</w:t>
      </w:r>
      <w:r>
        <w:rPr>
          <w:rFonts w:hint="eastAsia" w:hAnsi="宋体"/>
          <w:color w:val="auto"/>
          <w:szCs w:val="21"/>
          <w:highlight w:val="none"/>
        </w:rPr>
        <w:t>货款、标准附件、备品备件、专用工具、包装、运输、装卸、保险、税金、货到就位以及安装、调试、培训、保修、等一切税金和费用。</w:t>
      </w:r>
    </w:p>
    <w:p>
      <w:pPr>
        <w:pStyle w:val="26"/>
        <w:snapToGrid w:val="0"/>
        <w:spacing w:line="360" w:lineRule="auto"/>
        <w:ind w:firstLine="420" w:firstLineChars="200"/>
        <w:outlineLvl w:val="0"/>
        <w:rPr>
          <w:rFonts w:hAnsi="宋体"/>
          <w:color w:val="auto"/>
          <w:highlight w:val="none"/>
        </w:rPr>
      </w:pPr>
    </w:p>
    <w:p>
      <w:pPr>
        <w:pageBreakBefore/>
        <w:snapToGrid w:val="0"/>
        <w:spacing w:line="360" w:lineRule="auto"/>
        <w:jc w:val="center"/>
        <w:outlineLvl w:val="0"/>
        <w:rPr>
          <w:rFonts w:asciiTheme="minorEastAsia" w:hAnsiTheme="minorEastAsia" w:eastAsiaTheme="minorEastAsia"/>
          <w:b/>
          <w:color w:val="auto"/>
          <w:sz w:val="32"/>
          <w:szCs w:val="32"/>
          <w:highlight w:val="none"/>
        </w:rPr>
      </w:pPr>
      <w:bookmarkStart w:id="89" w:name="_Toc753"/>
      <w:r>
        <w:rPr>
          <w:rFonts w:hint="eastAsia" w:asciiTheme="minorEastAsia" w:hAnsiTheme="minorEastAsia" w:eastAsiaTheme="minorEastAsia"/>
          <w:b/>
          <w:color w:val="auto"/>
          <w:sz w:val="32"/>
          <w:szCs w:val="32"/>
          <w:highlight w:val="none"/>
        </w:rPr>
        <w:t>第六部分 拟签订的合同文本</w:t>
      </w:r>
      <w:bookmarkEnd w:id="89"/>
    </w:p>
    <w:p>
      <w:pPr>
        <w:pStyle w:val="26"/>
        <w:snapToGrid w:val="0"/>
        <w:spacing w:line="360" w:lineRule="auto"/>
        <w:ind w:firstLine="422" w:firstLineChars="200"/>
        <w:jc w:val="center"/>
        <w:rPr>
          <w:rFonts w:asciiTheme="minorEastAsia" w:hAnsiTheme="minorEastAsia" w:eastAsiaTheme="minorEastAsia"/>
          <w:b/>
          <w:snapToGrid w:val="0"/>
          <w:color w:val="auto"/>
          <w:highlight w:val="none"/>
        </w:rPr>
      </w:pPr>
      <w:r>
        <w:rPr>
          <w:rFonts w:hint="eastAsia" w:asciiTheme="minorEastAsia" w:hAnsiTheme="minorEastAsia" w:eastAsiaTheme="minorEastAsia"/>
          <w:b/>
          <w:snapToGrid w:val="0"/>
          <w:color w:val="auto"/>
          <w:highlight w:val="none"/>
        </w:rPr>
        <w:t>（本合同为参考，具体结合采购需求及中标人投标承诺，以实际签署为准）</w:t>
      </w:r>
    </w:p>
    <w:p>
      <w:pPr>
        <w:pStyle w:val="26"/>
        <w:snapToGrid w:val="0"/>
        <w:spacing w:line="400" w:lineRule="exact"/>
        <w:rPr>
          <w:rFonts w:ascii="宋体" w:hAnsi="宋体" w:eastAsia="宋体"/>
          <w:b/>
          <w:color w:val="auto"/>
          <w:kern w:val="0"/>
          <w:highlight w:val="none"/>
        </w:rPr>
      </w:pPr>
      <w:r>
        <w:rPr>
          <w:rFonts w:hint="eastAsia" w:ascii="宋体" w:hAnsi="宋体" w:eastAsia="宋体"/>
          <w:b/>
          <w:color w:val="auto"/>
          <w:kern w:val="0"/>
          <w:highlight w:val="none"/>
        </w:rPr>
        <w:t>项目名称：************</w:t>
      </w:r>
    </w:p>
    <w:p>
      <w:pPr>
        <w:spacing w:line="400" w:lineRule="exact"/>
        <w:rPr>
          <w:rFonts w:ascii="宋体" w:hAnsi="宋体" w:cs="宋体"/>
          <w:b/>
          <w:color w:val="auto"/>
          <w:kern w:val="0"/>
          <w:szCs w:val="21"/>
          <w:highlight w:val="none"/>
        </w:rPr>
      </w:pPr>
      <w:r>
        <w:rPr>
          <w:rFonts w:hint="eastAsia" w:ascii="宋体" w:hAnsi="宋体" w:cs="宋体"/>
          <w:b/>
          <w:color w:val="auto"/>
          <w:kern w:val="0"/>
          <w:szCs w:val="21"/>
          <w:highlight w:val="none"/>
        </w:rPr>
        <w:t>项目编号：************</w:t>
      </w:r>
    </w:p>
    <w:p>
      <w:pPr>
        <w:spacing w:line="400" w:lineRule="exact"/>
        <w:rPr>
          <w:rFonts w:ascii="宋体" w:hAnsi="宋体" w:cs="宋体"/>
          <w:b/>
          <w:color w:val="auto"/>
          <w:kern w:val="0"/>
          <w:szCs w:val="21"/>
          <w:highlight w:val="none"/>
        </w:rPr>
      </w:pPr>
      <w:r>
        <w:rPr>
          <w:rFonts w:hint="eastAsia" w:ascii="宋体" w:hAnsi="宋体" w:cs="宋体"/>
          <w:b/>
          <w:color w:val="auto"/>
          <w:kern w:val="0"/>
          <w:szCs w:val="21"/>
          <w:highlight w:val="none"/>
        </w:rPr>
        <w:t>标段信息：*****</w:t>
      </w:r>
    </w:p>
    <w:p>
      <w:pPr>
        <w:spacing w:line="400" w:lineRule="exact"/>
        <w:rPr>
          <w:rFonts w:ascii="宋体" w:hAnsi="宋体" w:cs="宋体"/>
          <w:b/>
          <w:color w:val="auto"/>
          <w:kern w:val="0"/>
          <w:szCs w:val="21"/>
          <w:highlight w:val="none"/>
        </w:rPr>
      </w:pPr>
      <w:r>
        <w:rPr>
          <w:rFonts w:hint="eastAsia" w:ascii="宋体" w:hAnsi="宋体" w:cs="宋体"/>
          <w:b/>
          <w:color w:val="auto"/>
          <w:szCs w:val="21"/>
          <w:highlight w:val="none"/>
        </w:rPr>
        <w:t>甲方</w:t>
      </w:r>
      <w:r>
        <w:rPr>
          <w:rFonts w:hint="eastAsia" w:ascii="宋体" w:hAnsi="宋体" w:cs="宋体"/>
          <w:b/>
          <w:color w:val="auto"/>
          <w:kern w:val="0"/>
          <w:szCs w:val="21"/>
          <w:highlight w:val="none"/>
        </w:rPr>
        <w:t>：（采购单位）台州学院</w:t>
      </w:r>
    </w:p>
    <w:p>
      <w:pPr>
        <w:spacing w:line="400" w:lineRule="exact"/>
        <w:rPr>
          <w:rFonts w:ascii="宋体" w:hAnsi="宋体" w:cs="宋体"/>
          <w:b/>
          <w:color w:val="auto"/>
          <w:kern w:val="0"/>
          <w:szCs w:val="21"/>
          <w:highlight w:val="none"/>
        </w:rPr>
      </w:pPr>
      <w:r>
        <w:rPr>
          <w:rFonts w:hint="eastAsia" w:ascii="宋体" w:hAnsi="宋体" w:cs="宋体"/>
          <w:b/>
          <w:color w:val="auto"/>
          <w:szCs w:val="21"/>
          <w:highlight w:val="none"/>
        </w:rPr>
        <w:t>所在地</w:t>
      </w:r>
      <w:r>
        <w:rPr>
          <w:rFonts w:hint="eastAsia" w:ascii="宋体" w:hAnsi="宋体" w:cs="宋体"/>
          <w:b/>
          <w:color w:val="auto"/>
          <w:kern w:val="0"/>
          <w:szCs w:val="21"/>
          <w:highlight w:val="none"/>
        </w:rPr>
        <w:t>：浙江台州</w:t>
      </w:r>
    </w:p>
    <w:p>
      <w:pPr>
        <w:spacing w:line="400" w:lineRule="exact"/>
        <w:rPr>
          <w:rFonts w:ascii="宋体" w:hAnsi="宋体" w:cs="宋体"/>
          <w:b/>
          <w:color w:val="auto"/>
          <w:kern w:val="0"/>
          <w:szCs w:val="21"/>
          <w:highlight w:val="none"/>
        </w:rPr>
      </w:pPr>
      <w:r>
        <w:rPr>
          <w:rFonts w:hint="eastAsia" w:ascii="宋体" w:hAnsi="宋体" w:cs="宋体"/>
          <w:b/>
          <w:color w:val="auto"/>
          <w:kern w:val="0"/>
          <w:szCs w:val="21"/>
          <w:highlight w:val="none"/>
        </w:rPr>
        <w:t xml:space="preserve">乙方：（中标供应商）************ </w:t>
      </w:r>
    </w:p>
    <w:p>
      <w:pPr>
        <w:spacing w:line="400" w:lineRule="exact"/>
        <w:rPr>
          <w:rFonts w:ascii="宋体" w:hAnsi="宋体" w:cs="宋体"/>
          <w:b/>
          <w:color w:val="auto"/>
          <w:kern w:val="0"/>
          <w:szCs w:val="21"/>
          <w:highlight w:val="none"/>
        </w:rPr>
      </w:pPr>
      <w:r>
        <w:rPr>
          <w:rFonts w:hint="eastAsia" w:ascii="宋体" w:hAnsi="宋体" w:cs="宋体"/>
          <w:b/>
          <w:color w:val="auto"/>
          <w:kern w:val="0"/>
          <w:szCs w:val="21"/>
          <w:highlight w:val="none"/>
        </w:rPr>
        <w:t>所在地： ************</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甲、乙双方根据台州学院关于</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rPr>
        <w:t>项目公开招标的结果，签署本合同。</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一、货物内容及合同价格</w:t>
      </w:r>
    </w:p>
    <w:p>
      <w:pPr>
        <w:spacing w:line="400" w:lineRule="exact"/>
        <w:ind w:firstLine="4515" w:firstLineChars="2150"/>
        <w:rPr>
          <w:rFonts w:ascii="宋体" w:hAnsi="宋体" w:cs="宋体"/>
          <w:color w:val="auto"/>
          <w:kern w:val="0"/>
          <w:szCs w:val="21"/>
          <w:highlight w:val="none"/>
        </w:rPr>
      </w:pPr>
      <w:r>
        <w:rPr>
          <w:rFonts w:hint="eastAsia" w:ascii="宋体" w:hAnsi="宋体" w:cs="宋体"/>
          <w:color w:val="auto"/>
          <w:kern w:val="0"/>
          <w:szCs w:val="21"/>
          <w:highlight w:val="none"/>
        </w:rPr>
        <w:t>金额单位：元</w:t>
      </w:r>
    </w:p>
    <w:tbl>
      <w:tblPr>
        <w:tblStyle w:val="4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1623"/>
        <w:gridCol w:w="1921"/>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09"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1985"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货物名称</w:t>
            </w:r>
          </w:p>
        </w:tc>
        <w:tc>
          <w:tcPr>
            <w:tcW w:w="1623"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品牌、产地</w:t>
            </w:r>
          </w:p>
        </w:tc>
        <w:tc>
          <w:tcPr>
            <w:tcW w:w="1921"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型号规格</w:t>
            </w:r>
          </w:p>
        </w:tc>
        <w:tc>
          <w:tcPr>
            <w:tcW w:w="850"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数量</w:t>
            </w:r>
          </w:p>
        </w:tc>
        <w:tc>
          <w:tcPr>
            <w:tcW w:w="1134"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单价</w:t>
            </w:r>
          </w:p>
        </w:tc>
        <w:tc>
          <w:tcPr>
            <w:tcW w:w="1134" w:type="dxa"/>
            <w:noWrap/>
            <w:vAlign w:val="center"/>
          </w:tcPr>
          <w:p>
            <w:pPr>
              <w:tabs>
                <w:tab w:val="left" w:pos="180"/>
              </w:tabs>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noWrap/>
            <w:vAlign w:val="center"/>
          </w:tcPr>
          <w:p>
            <w:pPr>
              <w:tabs>
                <w:tab w:val="left" w:pos="180"/>
              </w:tabs>
              <w:spacing w:line="400" w:lineRule="exact"/>
              <w:jc w:val="center"/>
              <w:rPr>
                <w:rFonts w:ascii="宋体" w:hAnsi="宋体" w:cs="宋体"/>
                <w:color w:val="auto"/>
                <w:kern w:val="0"/>
                <w:szCs w:val="21"/>
                <w:highlight w:val="none"/>
              </w:rPr>
            </w:pPr>
          </w:p>
        </w:tc>
        <w:tc>
          <w:tcPr>
            <w:tcW w:w="1985" w:type="dxa"/>
            <w:noWrap/>
            <w:vAlign w:val="center"/>
          </w:tcPr>
          <w:p>
            <w:pPr>
              <w:tabs>
                <w:tab w:val="left" w:pos="180"/>
              </w:tabs>
              <w:spacing w:line="400" w:lineRule="exact"/>
              <w:jc w:val="center"/>
              <w:rPr>
                <w:rFonts w:ascii="宋体" w:hAnsi="宋体" w:cs="宋体"/>
                <w:color w:val="auto"/>
                <w:kern w:val="0"/>
                <w:szCs w:val="21"/>
                <w:highlight w:val="none"/>
              </w:rPr>
            </w:pPr>
          </w:p>
        </w:tc>
        <w:tc>
          <w:tcPr>
            <w:tcW w:w="1623" w:type="dxa"/>
            <w:noWrap/>
            <w:vAlign w:val="center"/>
          </w:tcPr>
          <w:p>
            <w:pPr>
              <w:tabs>
                <w:tab w:val="left" w:pos="180"/>
              </w:tabs>
              <w:spacing w:line="400" w:lineRule="exact"/>
              <w:jc w:val="center"/>
              <w:rPr>
                <w:rFonts w:ascii="宋体" w:hAnsi="宋体" w:cs="宋体"/>
                <w:color w:val="auto"/>
                <w:kern w:val="0"/>
                <w:szCs w:val="21"/>
                <w:highlight w:val="none"/>
              </w:rPr>
            </w:pPr>
          </w:p>
        </w:tc>
        <w:tc>
          <w:tcPr>
            <w:tcW w:w="1921" w:type="dxa"/>
            <w:noWrap/>
            <w:vAlign w:val="center"/>
          </w:tcPr>
          <w:p>
            <w:pPr>
              <w:tabs>
                <w:tab w:val="left" w:pos="180"/>
              </w:tabs>
              <w:spacing w:line="400" w:lineRule="exact"/>
              <w:rPr>
                <w:rFonts w:ascii="宋体" w:hAnsi="宋体" w:cs="宋体"/>
                <w:color w:val="auto"/>
                <w:kern w:val="0"/>
                <w:szCs w:val="21"/>
                <w:highlight w:val="none"/>
              </w:rPr>
            </w:pPr>
          </w:p>
        </w:tc>
        <w:tc>
          <w:tcPr>
            <w:tcW w:w="850" w:type="dxa"/>
            <w:noWrap/>
            <w:vAlign w:val="center"/>
          </w:tcPr>
          <w:p>
            <w:pPr>
              <w:tabs>
                <w:tab w:val="left" w:pos="180"/>
              </w:tabs>
              <w:spacing w:line="400" w:lineRule="exact"/>
              <w:jc w:val="center"/>
              <w:rPr>
                <w:rFonts w:ascii="宋体" w:hAnsi="宋体" w:cs="宋体"/>
                <w:color w:val="auto"/>
                <w:kern w:val="0"/>
                <w:szCs w:val="21"/>
                <w:highlight w:val="none"/>
              </w:rPr>
            </w:pPr>
          </w:p>
        </w:tc>
        <w:tc>
          <w:tcPr>
            <w:tcW w:w="1134" w:type="dxa"/>
            <w:noWrap/>
            <w:vAlign w:val="center"/>
          </w:tcPr>
          <w:p>
            <w:pPr>
              <w:tabs>
                <w:tab w:val="left" w:pos="180"/>
              </w:tabs>
              <w:spacing w:line="400" w:lineRule="exact"/>
              <w:jc w:val="center"/>
              <w:rPr>
                <w:rFonts w:ascii="宋体" w:hAnsi="宋体" w:cs="宋体"/>
                <w:color w:val="auto"/>
                <w:kern w:val="0"/>
                <w:szCs w:val="21"/>
                <w:highlight w:val="none"/>
              </w:rPr>
            </w:pPr>
          </w:p>
        </w:tc>
        <w:tc>
          <w:tcPr>
            <w:tcW w:w="1134" w:type="dxa"/>
            <w:tcBorders>
              <w:bottom w:val="single" w:color="auto" w:sz="4" w:space="0"/>
            </w:tcBorders>
            <w:noWrap/>
            <w:vAlign w:val="center"/>
          </w:tcPr>
          <w:p>
            <w:pPr>
              <w:tabs>
                <w:tab w:val="left" w:pos="180"/>
              </w:tabs>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22" w:type="dxa"/>
            <w:gridSpan w:val="6"/>
            <w:noWrap/>
            <w:vAlign w:val="center"/>
          </w:tcPr>
          <w:p>
            <w:pPr>
              <w:tabs>
                <w:tab w:val="left" w:pos="180"/>
              </w:tabs>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34" w:type="dxa"/>
            <w:noWrap/>
            <w:vAlign w:val="center"/>
          </w:tcPr>
          <w:p>
            <w:pPr>
              <w:tabs>
                <w:tab w:val="left" w:pos="180"/>
              </w:tabs>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56" w:type="dxa"/>
            <w:gridSpan w:val="7"/>
            <w:noWrap/>
            <w:vAlign w:val="center"/>
          </w:tcPr>
          <w:p>
            <w:pPr>
              <w:tabs>
                <w:tab w:val="left" w:pos="180"/>
              </w:tabs>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合同总价（人民币大写）： </w:t>
            </w:r>
          </w:p>
        </w:tc>
      </w:tr>
    </w:tbl>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注：1.商品型号、数量、配置要求及使用单位地址等或可以详见附件清单。</w:t>
      </w:r>
    </w:p>
    <w:p>
      <w:pPr>
        <w:spacing w:line="40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2.以上合同总价包含产品到达用户并能正常使用所需的一切费用。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二、技术资料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1.乙方应按招标文件规定的时间向甲方提供使用货物的有关技术资料。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三、知识产权</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乙方应保证所提供的货物或其任何一部分均不会侵犯任何第三方的知识产权。否则，乙方无权要求返还履约保证金；如果任何第三方向甲方提起侵权索赔，乙方应负责与之进行交涉，造成甲方损失的后果均由乙方承担。</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四、产权担保</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乙方保证所交付的货物的所有权完全属于乙方且无任何抵押、查封等权利瑕疵，否则由乙方承担全部责任。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五、履约保证金</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合同签订前，乙方应先缴纳合同总金额1%的履约保证金共计人民币元，合同履行结束，如无质量、服务投诉和索赔，该款项无息返还。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六、转包或分包</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1.本合同范围的货物，应由乙方直接供应，不得转让他人供应；</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2.除非得到甲方的书面同意，乙方不得将本合同范围的货物全部或部分分包给他人供应；</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3.如有转让和未经甲方同意的分包行为，甲方有权解除合同，不予退还履约保证金并追究乙方的违约责任。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七、质保期</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质保期年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八、交货期、交货方式及交货地点</w:t>
      </w:r>
    </w:p>
    <w:p>
      <w:pPr>
        <w:spacing w:line="400" w:lineRule="exact"/>
        <w:ind w:firstLine="420" w:firstLineChars="200"/>
        <w:rPr>
          <w:rFonts w:ascii="宋体" w:hAnsi="宋体" w:cs="宋体"/>
          <w:b/>
          <w:color w:val="auto"/>
          <w:szCs w:val="21"/>
          <w:highlight w:val="none"/>
        </w:rPr>
      </w:pPr>
      <w:r>
        <w:rPr>
          <w:rFonts w:hint="eastAsia" w:ascii="宋体" w:hAnsi="宋体" w:cs="宋体"/>
          <w:bCs/>
          <w:color w:val="auto"/>
          <w:szCs w:val="21"/>
          <w:highlight w:val="none"/>
        </w:rPr>
        <w:t>1.交货期：交货</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2.交货方式：，运费、装卸费由乙方负责</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3.交货地点：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九、货款支付</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付款方式：合同签订后，甲方向乙方支付40%的合同款项作为预付款；乙方设备安装调试完成，经台州学院该项目验收小组组织验收，验收合格后，在乙方票证齐全，且符合甲方付款流程的前提下，甲方一次性付清剩余款项。否则甲方有权拒绝付款。</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2.当采购数量与实际使用数量不一致时，乙方应根据实际使用量供货，合同的最终结算金额按实际使用量乘以成交单价进行计算。</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3.因进口货物无法办理免税手续的，甲方可以解除该货物的采购合同，并应当及时通知乙方，因此造成的损失由乙方承担。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十、税费</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本合同执行中相关的一切税费均由乙方负担。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十一、质量保证及售后服务</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1.乙方应按招标文件规定的货物性能、技术要求、质量标准向甲方提供未经使用的全新原装正品。</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2.乙方提供的货物在质保期内非因人为原因发生故障，乙方应负责免费更换。对达不到技术要求者，根据实际情况，经双方协商，可按以下办法处理：</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⑴更换：由乙方承担所发生的全部费用。</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⑵贬值处理：由甲乙双方合议定价。</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⑶退货处理：乙方应退还甲方支付的合同款，同时应承担该货物的直接费用（运输、保险、检验、货款利息及银行手续费等）。</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上述三种方式如协商不成，甲方有权直接自行选择上述三项处理方式任一项进行处理，乙方不得异议。</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质保期内如在使用过程中发生质量问题，乙方在接到甲方通知后小时内给与答复，小时内派员赶赴现场予以解决。否则，应按每次500元支付甲方违约金。同一质量问题，如修理超过3次，甲方有权提出更换商品，乙方必须更换。否则，甲方因此支出的全部费用由乙方承担，并且不返还履约保证金。质保期外，乙方应在小时内作出响应，个工作日内到达甲方现场维修，一般故障应在小时内修复，重大故障应在小时内修复。</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在质保期内，乙方应对货物出现的质量及安全问题负责处理解决并承担一切费用及责任。质保期过后，乙方提供终身维修服务，能提供广泛、即时、优惠的技术服务，并提供质量上乘、价格合理的各种配件。乙方保证供应货物质保期后3年内所需的备品、备件，并给出详细清单（品名、货号、生产厂家、数量、价格等）。</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5.乙方终身免费提供应用咨询及技术帮助，质保期内，易损件和外购件根据原厂家质保期和国家质保标准保修，因人为因素出现的故障酌情收取材料费；质保期外实行有偿服务。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十二、调试和验收</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1.甲方对乙方提交的货物依据招标文件上的技术规格要求和国家有关质量标准进行现场初步验收，外观、说明书符合招标文件技术要求的，给予签收，初步验收不合格的不予签收。</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2.乙方交货前应对产品做出全面检查和对验收文件进行整理，并列出清单，作为甲方收货验收和使用的技术条件依据，检验的结果应随货物交甲方。</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3.乙方对安装仪器的实验室工作条件应提出具体要求，并在安装前予以确认。</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货物到达甲方指定交货地点后，根据甲方的时间安排，乙方在接到甲方通知后天内进行安装调试，直到符合技术要求，甲方才做最终验收。安装调试合格后，乙方负责对甲方技术人员（至少2人）进行免费现场培训，培训内容包括仪器的性能、原理、操作、保养和维护等，培训日程视实际情况另定。</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5.对技术复杂的货物，甲方可请国家认可的专业检测机构参与初步验收及最终验收，并由其出具质量检测报告。</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6.验收时乙方必须在现场，验收完毕后作出验收结果报告；验收费用由乙方负责。如乙方拒不到场，视为其同意甲方之验收结果并不得异议。</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7.因乙方人员在合同履行过程中造成甲方或其自身人身或财产损害，由乙方承担全部责任。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十三、货物包装、发运及运输</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1.乙方应在货物发运前对其进行满足运输距离、防潮、防震、防锈和防破损装卸等要求包装，以保证货物安全运达甲方指定地点。</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2.使用说明书、质量检验证明书、随配附件和工具以及清单一并附于货物内。</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3.乙方在货物发运手续办理完毕后24小时内或货到甲方48</w:t>
      </w:r>
      <w:r>
        <w:rPr>
          <w:rFonts w:hint="eastAsia" w:ascii="宋体" w:hAnsi="宋体" w:cs="宋体"/>
          <w:color w:val="auto"/>
          <w:szCs w:val="21"/>
          <w:highlight w:val="none"/>
        </w:rPr>
        <w:t>小时前通知甲方</w:t>
      </w:r>
      <w:r>
        <w:rPr>
          <w:rFonts w:hint="eastAsia" w:ascii="宋体" w:hAnsi="宋体" w:cs="宋体"/>
          <w:color w:val="auto"/>
          <w:kern w:val="0"/>
          <w:szCs w:val="21"/>
          <w:highlight w:val="none"/>
        </w:rPr>
        <w:t>，以准备接货。</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4.货物在交付甲方前发生的风险均由乙方负责。</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5.货物在规定的交付期限内由乙方送达甲方指定的地点，乙方同时需通知甲方货物已送达，并与甲方工作人员办理交接手续，否则视为未交付。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十四、违约责任</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1.甲方无正当理由拒收货物的，甲方向乙方偿付拒收货款总值的百分之五违约金。</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2.甲方无故逾期验收和办理货款支付手续的,甲方应按逾期付款总额每日万分之五向乙方支付违约金。</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乙方逾期交付货物的，乙方应按逾期交货总额每日千分之六向甲方支付违约金，甲方可直接从待付货款中扣除。乙方逾期超过约定日期10个工作日不能交货的或有其他违约行为的，甲方有权解除合同，预付款返还甲方，履约保证金不予返还，并且乙方应向甲方支付合同总价20%的违约金，如造成甲方损失超过违约金的，超出部分由乙方继续承担赔偿责任。</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预付款返还甲方，履约保证金不予返还，并向甲方支付合同总价20%的违约金，如造成甲方的损失超过违约金的，乙方理应继续承担赔偿责任。</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5.若发生纠纷，由违约方赔偿守约方因纠纷所支付的费用（包括但不限于律师费、差旅费、诉讼费、保全费、鉴定费、评估费等）。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十五、不可抗力事件处理</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1.在合同有效期内，任何一方因不可抗力事件导致不能履行合同，则合同履行期可延长，其延长期与不可抗力影响期相同。</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2.不可抗力事件发生后，应立即通知对方，并寄送有关权威机构出具的证明。</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3.不可抗力事件延续60天以上，双方应通过友好协商，确定是否继续履行合同。</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十六、诉讼</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双方在执行合同中所发生的一切争议，应通过协商解决。如协商不成，依法向甲方所在地人民法院提起诉讼。</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十七、合同生效及其它</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1.合同经双方法定代表人或授权代表签字并加盖单位公章后生效。</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2.本合同未尽事宜，遵照《民法典》及有关规定执行。</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3.本合同一式柒份，甲方执伍份、乙方执贰份。本项目未尽事宜以招标文件、投标文件及澄清文件等为准。</w:t>
      </w:r>
    </w:p>
    <w:p>
      <w:pPr>
        <w:widowControl/>
        <w:spacing w:line="400" w:lineRule="exact"/>
        <w:ind w:firstLine="422" w:firstLineChars="200"/>
        <w:rPr>
          <w:rFonts w:ascii="宋体" w:hAnsi="宋体" w:cs="宋体"/>
          <w:b/>
          <w:color w:val="auto"/>
          <w:szCs w:val="21"/>
          <w:highlight w:val="none"/>
        </w:rPr>
      </w:pPr>
    </w:p>
    <w:p>
      <w:pPr>
        <w:widowControl/>
        <w:spacing w:line="400" w:lineRule="exact"/>
        <w:ind w:firstLine="422" w:firstLineChars="200"/>
        <w:rPr>
          <w:rFonts w:ascii="宋体" w:hAnsi="宋体" w:cs="宋体"/>
          <w:b/>
          <w:color w:val="auto"/>
          <w:szCs w:val="21"/>
          <w:highlight w:val="none"/>
        </w:rPr>
      </w:pPr>
    </w:p>
    <w:p>
      <w:pPr>
        <w:spacing w:line="400" w:lineRule="exact"/>
        <w:ind w:left="5145" w:hanging="5145" w:hangingChars="2450"/>
        <w:rPr>
          <w:rFonts w:ascii="宋体" w:hAnsi="宋体" w:cs="宋体"/>
          <w:color w:val="auto"/>
          <w:szCs w:val="21"/>
          <w:highlight w:val="none"/>
        </w:rPr>
      </w:pPr>
      <w:r>
        <w:rPr>
          <w:rFonts w:hint="eastAsia" w:ascii="宋体" w:hAnsi="宋体" w:cs="宋体"/>
          <w:color w:val="auto"/>
          <w:szCs w:val="21"/>
          <w:highlight w:val="none"/>
        </w:rPr>
        <w:t>甲方（公章）台州学院                  乙方（公章）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法定代表人：                          法定代表人：</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委托代理人：                          委托代理人：</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联系电话：0576-88660896               联系电话：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开户银行：建行台州市分行              开户银行： </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账号：</w:t>
      </w:r>
      <w:r>
        <w:rPr>
          <w:rFonts w:hint="eastAsia" w:ascii="宋体" w:hAnsi="宋体" w:cs="宋体"/>
          <w:color w:val="auto"/>
          <w:kern w:val="0"/>
          <w:szCs w:val="21"/>
          <w:highlight w:val="none"/>
        </w:rPr>
        <w:t>33050166350000000852</w:t>
      </w:r>
      <w:r>
        <w:rPr>
          <w:rFonts w:hint="eastAsia" w:ascii="宋体" w:hAnsi="宋体" w:cs="宋体"/>
          <w:color w:val="auto"/>
          <w:szCs w:val="21"/>
          <w:highlight w:val="none"/>
        </w:rPr>
        <w:t xml:space="preserve">            账号：</w:t>
      </w:r>
    </w:p>
    <w:p>
      <w:pPr>
        <w:spacing w:line="400" w:lineRule="exact"/>
        <w:ind w:left="3990" w:hanging="3990" w:hangingChars="1900"/>
        <w:rPr>
          <w:rFonts w:ascii="宋体" w:hAnsi="宋体" w:cs="宋体"/>
          <w:color w:val="auto"/>
          <w:szCs w:val="21"/>
          <w:highlight w:val="none"/>
        </w:rPr>
      </w:pPr>
      <w:r>
        <w:rPr>
          <w:rFonts w:hint="eastAsia" w:ascii="宋体" w:hAnsi="宋体" w:cs="宋体"/>
          <w:color w:val="auto"/>
          <w:szCs w:val="21"/>
          <w:highlight w:val="none"/>
        </w:rPr>
        <w:t>地址及邮编：台州市市府大道1139号     地址及邮编：</w:t>
      </w:r>
    </w:p>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p>
    <w:p>
      <w:pPr>
        <w:spacing w:line="400" w:lineRule="exact"/>
        <w:ind w:firstLine="3885" w:firstLineChars="1850"/>
        <w:rPr>
          <w:rFonts w:ascii="宋体" w:hAnsi="宋体" w:cs="宋体"/>
          <w:color w:val="auto"/>
          <w:szCs w:val="21"/>
          <w:highlight w:val="none"/>
        </w:rPr>
      </w:pPr>
      <w:r>
        <w:rPr>
          <w:rFonts w:hint="eastAsia" w:ascii="宋体" w:hAnsi="宋体" w:cs="宋体"/>
          <w:color w:val="auto"/>
          <w:szCs w:val="21"/>
          <w:highlight w:val="none"/>
        </w:rPr>
        <w:t>签订时间： 2023年    月    日</w:t>
      </w:r>
    </w:p>
    <w:p>
      <w:pPr>
        <w:pStyle w:val="16"/>
        <w:rPr>
          <w:color w:val="auto"/>
          <w:highlight w:val="none"/>
        </w:rPr>
      </w:pPr>
    </w:p>
    <w:bookmarkEnd w:id="87"/>
    <w:p>
      <w:pPr>
        <w:pageBreakBefore/>
        <w:spacing w:line="520" w:lineRule="exact"/>
        <w:jc w:val="center"/>
        <w:outlineLvl w:val="0"/>
        <w:rPr>
          <w:rFonts w:cs="宋体" w:asciiTheme="minorEastAsia" w:hAnsiTheme="minorEastAsia" w:eastAsiaTheme="minorEastAsia"/>
          <w:b/>
          <w:bCs/>
          <w:color w:val="auto"/>
          <w:sz w:val="32"/>
          <w:szCs w:val="32"/>
          <w:highlight w:val="none"/>
        </w:rPr>
      </w:pPr>
      <w:bookmarkStart w:id="90" w:name="_Toc9035"/>
      <w:bookmarkStart w:id="91" w:name="_Toc29514"/>
      <w:bookmarkStart w:id="92" w:name="_Toc5920"/>
      <w:r>
        <w:rPr>
          <w:rFonts w:hint="eastAsia" w:asciiTheme="minorEastAsia" w:hAnsiTheme="minorEastAsia" w:eastAsiaTheme="minorEastAsia"/>
          <w:b/>
          <w:color w:val="auto"/>
          <w:sz w:val="32"/>
          <w:szCs w:val="32"/>
          <w:highlight w:val="none"/>
        </w:rPr>
        <w:t xml:space="preserve">第七部分   </w:t>
      </w:r>
      <w:r>
        <w:rPr>
          <w:rFonts w:hint="eastAsia" w:cs="宋体" w:asciiTheme="minorEastAsia" w:hAnsiTheme="minorEastAsia" w:eastAsiaTheme="minorEastAsia"/>
          <w:b/>
          <w:bCs/>
          <w:color w:val="auto"/>
          <w:sz w:val="32"/>
          <w:szCs w:val="32"/>
          <w:highlight w:val="none"/>
        </w:rPr>
        <w:t>格式与表格</w:t>
      </w:r>
      <w:bookmarkEnd w:id="90"/>
      <w:bookmarkEnd w:id="91"/>
      <w:bookmarkEnd w:id="92"/>
    </w:p>
    <w:p>
      <w:pPr>
        <w:pStyle w:val="21"/>
        <w:rPr>
          <w:rFonts w:asciiTheme="minorEastAsia" w:hAnsiTheme="minorEastAsia" w:eastAsiaTheme="minorEastAsia"/>
          <w:color w:val="auto"/>
          <w:highlight w:val="none"/>
        </w:rPr>
      </w:pPr>
    </w:p>
    <w:p>
      <w:pPr>
        <w:shd w:val="clear" w:color="auto" w:fill="FFFFFF"/>
        <w:snapToGrid w:val="0"/>
        <w:spacing w:line="360" w:lineRule="auto"/>
        <w:jc w:val="center"/>
        <w:rPr>
          <w:rFonts w:cs="宋体" w:asciiTheme="minorEastAsia" w:hAnsiTheme="minorEastAsia" w:eastAsiaTheme="minorEastAsia"/>
          <w:b/>
          <w:bCs/>
          <w:color w:val="auto"/>
          <w:szCs w:val="21"/>
          <w:highlight w:val="none"/>
        </w:rPr>
      </w:pPr>
      <w:bookmarkStart w:id="93" w:name="_Toc22871"/>
      <w:bookmarkStart w:id="94" w:name="_Toc2172"/>
      <w:r>
        <w:rPr>
          <w:rFonts w:hint="eastAsia" w:asciiTheme="minorEastAsia" w:hAnsiTheme="minorEastAsia" w:eastAsiaTheme="minorEastAsia"/>
          <w:color w:val="auto"/>
          <w:sz w:val="52"/>
          <w:szCs w:val="52"/>
          <w:highlight w:val="none"/>
        </w:rPr>
        <w:t>项目名称</w:t>
      </w:r>
      <w:bookmarkEnd w:id="93"/>
      <w:bookmarkEnd w:id="94"/>
    </w:p>
    <w:p>
      <w:pPr>
        <w:spacing w:line="360" w:lineRule="auto"/>
        <w:ind w:firstLine="3596" w:firstLineChars="995"/>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b/>
          <w:color w:val="auto"/>
          <w:sz w:val="36"/>
          <w:szCs w:val="36"/>
          <w:highlight w:val="none"/>
        </w:rPr>
        <w:t>项目编号：</w:t>
      </w:r>
    </w:p>
    <w:p>
      <w:pPr>
        <w:spacing w:line="360" w:lineRule="auto"/>
        <w:jc w:val="center"/>
        <w:rPr>
          <w:rFonts w:asciiTheme="minorEastAsia" w:hAnsiTheme="minorEastAsia" w:eastAsiaTheme="minorEastAsia"/>
          <w:color w:val="auto"/>
          <w:sz w:val="84"/>
          <w:szCs w:val="84"/>
          <w:highlight w:val="none"/>
        </w:rPr>
      </w:pPr>
      <w:r>
        <w:rPr>
          <w:rFonts w:hint="eastAsia" w:asciiTheme="minorEastAsia" w:hAnsiTheme="minorEastAsia" w:eastAsiaTheme="minorEastAsia"/>
          <w:color w:val="auto"/>
          <w:sz w:val="84"/>
          <w:szCs w:val="84"/>
          <w:highlight w:val="none"/>
        </w:rPr>
        <w:t>投</w:t>
      </w:r>
    </w:p>
    <w:p>
      <w:pPr>
        <w:spacing w:line="360" w:lineRule="auto"/>
        <w:jc w:val="center"/>
        <w:rPr>
          <w:rFonts w:asciiTheme="minorEastAsia" w:hAnsiTheme="minorEastAsia" w:eastAsiaTheme="minorEastAsia"/>
          <w:color w:val="auto"/>
          <w:sz w:val="84"/>
          <w:szCs w:val="84"/>
          <w:highlight w:val="none"/>
        </w:rPr>
      </w:pPr>
      <w:r>
        <w:rPr>
          <w:rFonts w:hint="eastAsia" w:asciiTheme="minorEastAsia" w:hAnsiTheme="minorEastAsia" w:eastAsiaTheme="minorEastAsia"/>
          <w:color w:val="auto"/>
          <w:sz w:val="84"/>
          <w:szCs w:val="84"/>
          <w:highlight w:val="none"/>
        </w:rPr>
        <w:t>标</w:t>
      </w:r>
    </w:p>
    <w:p>
      <w:pPr>
        <w:spacing w:line="360" w:lineRule="auto"/>
        <w:jc w:val="center"/>
        <w:rPr>
          <w:rFonts w:asciiTheme="minorEastAsia" w:hAnsiTheme="minorEastAsia" w:eastAsiaTheme="minorEastAsia"/>
          <w:color w:val="auto"/>
          <w:sz w:val="84"/>
          <w:szCs w:val="84"/>
          <w:highlight w:val="none"/>
        </w:rPr>
      </w:pPr>
      <w:r>
        <w:rPr>
          <w:rFonts w:hint="eastAsia" w:asciiTheme="minorEastAsia" w:hAnsiTheme="minorEastAsia" w:eastAsiaTheme="minorEastAsia"/>
          <w:color w:val="auto"/>
          <w:sz w:val="84"/>
          <w:szCs w:val="84"/>
          <w:highlight w:val="none"/>
        </w:rPr>
        <w:t>文</w:t>
      </w:r>
    </w:p>
    <w:p>
      <w:pPr>
        <w:spacing w:line="360" w:lineRule="auto"/>
        <w:jc w:val="center"/>
        <w:rPr>
          <w:rFonts w:asciiTheme="minorEastAsia" w:hAnsiTheme="minorEastAsia" w:eastAsiaTheme="minorEastAsia"/>
          <w:color w:val="auto"/>
          <w:sz w:val="84"/>
          <w:szCs w:val="84"/>
          <w:highlight w:val="none"/>
        </w:rPr>
      </w:pPr>
      <w:r>
        <w:rPr>
          <w:rFonts w:hint="eastAsia" w:asciiTheme="minorEastAsia" w:hAnsiTheme="minorEastAsia" w:eastAsiaTheme="minorEastAsia"/>
          <w:color w:val="auto"/>
          <w:sz w:val="84"/>
          <w:szCs w:val="84"/>
          <w:highlight w:val="none"/>
        </w:rPr>
        <w:t>件</w:t>
      </w:r>
    </w:p>
    <w:p>
      <w:pPr>
        <w:spacing w:line="360" w:lineRule="auto"/>
        <w:jc w:val="center"/>
        <w:rPr>
          <w:rFonts w:asciiTheme="minorEastAsia" w:hAnsiTheme="minorEastAsia" w:eastAsiaTheme="minorEastAsia"/>
          <w:color w:val="auto"/>
          <w:sz w:val="28"/>
          <w:szCs w:val="28"/>
          <w:highlight w:val="none"/>
        </w:rPr>
      </w:pPr>
    </w:p>
    <w:p>
      <w:pPr>
        <w:spacing w:line="360" w:lineRule="auto"/>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（资格证明文件）</w:t>
      </w:r>
    </w:p>
    <w:p>
      <w:pPr>
        <w:spacing w:line="360" w:lineRule="auto"/>
        <w:jc w:val="center"/>
        <w:rPr>
          <w:rFonts w:asciiTheme="minorEastAsia" w:hAnsiTheme="minorEastAsia" w:eastAsiaTheme="minorEastAsia"/>
          <w:color w:val="auto"/>
          <w:sz w:val="32"/>
          <w:szCs w:val="32"/>
          <w:highlight w:val="none"/>
        </w:rPr>
      </w:pPr>
    </w:p>
    <w:p>
      <w:pPr>
        <w:spacing w:line="360" w:lineRule="auto"/>
        <w:jc w:val="center"/>
        <w:rPr>
          <w:rFonts w:asciiTheme="minorEastAsia" w:hAnsiTheme="minorEastAsia" w:eastAsiaTheme="minorEastAsia"/>
          <w:color w:val="auto"/>
          <w:sz w:val="32"/>
          <w:szCs w:val="32"/>
          <w:highlight w:val="none"/>
        </w:rPr>
      </w:pPr>
    </w:p>
    <w:p>
      <w:pPr>
        <w:pStyle w:val="27"/>
        <w:ind w:left="0" w:leftChars="0" w:firstLine="1260" w:firstLineChars="35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投标人名称（公章）：</w:t>
      </w:r>
    </w:p>
    <w:p>
      <w:pPr>
        <w:pStyle w:val="27"/>
        <w:ind w:left="0" w:leftChars="0" w:firstLine="1260" w:firstLineChars="35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投标人地址：</w:t>
      </w:r>
    </w:p>
    <w:p>
      <w:pPr>
        <w:pStyle w:val="27"/>
        <w:ind w:left="0" w:leftChars="0" w:firstLine="1440" w:firstLineChars="400"/>
        <w:rPr>
          <w:rFonts w:asciiTheme="minorEastAsia" w:hAnsiTheme="minorEastAsia" w:eastAsiaTheme="minorEastAsia"/>
          <w:color w:val="auto"/>
          <w:highlight w:val="none"/>
        </w:rPr>
      </w:pPr>
      <w:r>
        <w:rPr>
          <w:rFonts w:hint="eastAsia" w:asciiTheme="minorEastAsia" w:hAnsiTheme="minorEastAsia" w:eastAsiaTheme="minorEastAsia"/>
          <w:color w:val="auto"/>
          <w:sz w:val="36"/>
          <w:szCs w:val="36"/>
          <w:highlight w:val="none"/>
        </w:rPr>
        <w:t>时</w:t>
      </w:r>
      <w:r>
        <w:rPr>
          <w:rFonts w:asciiTheme="minorEastAsia" w:hAnsiTheme="minorEastAsia" w:eastAsiaTheme="minorEastAsia"/>
          <w:color w:val="auto"/>
          <w:sz w:val="36"/>
          <w:szCs w:val="36"/>
          <w:highlight w:val="none"/>
        </w:rPr>
        <w:t xml:space="preserve">    间：</w:t>
      </w: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spacing w:line="360" w:lineRule="auto"/>
        <w:jc w:val="center"/>
        <w:rPr>
          <w:rFonts w:asciiTheme="minorEastAsia" w:hAnsiTheme="minorEastAsia" w:eastAsiaTheme="minorEastAsia"/>
          <w:b/>
          <w:color w:val="auto"/>
          <w:sz w:val="44"/>
          <w:szCs w:val="44"/>
          <w:highlight w:val="none"/>
        </w:rPr>
      </w:pPr>
    </w:p>
    <w:p>
      <w:pPr>
        <w:pStyle w:val="3"/>
        <w:rPr>
          <w:color w:val="auto"/>
          <w:highlight w:val="none"/>
        </w:rPr>
      </w:pPr>
    </w:p>
    <w:p>
      <w:pPr>
        <w:spacing w:line="360" w:lineRule="auto"/>
        <w:jc w:val="center"/>
        <w:rPr>
          <w:rFonts w:asciiTheme="minorEastAsia" w:hAnsiTheme="minorEastAsia" w:eastAsiaTheme="minorEastAsia"/>
          <w:b/>
          <w:color w:val="auto"/>
          <w:sz w:val="44"/>
          <w:szCs w:val="44"/>
          <w:highlight w:val="none"/>
        </w:rPr>
      </w:pPr>
      <w:r>
        <w:rPr>
          <w:rFonts w:asciiTheme="minorEastAsia" w:hAnsiTheme="minorEastAsia" w:eastAsiaTheme="minorEastAsia"/>
          <w:b/>
          <w:color w:val="auto"/>
          <w:sz w:val="44"/>
          <w:szCs w:val="44"/>
          <w:highlight w:val="none"/>
        </w:rPr>
        <w:t>资格证明文件</w:t>
      </w:r>
    </w:p>
    <w:p>
      <w:pPr>
        <w:spacing w:line="360" w:lineRule="auto"/>
        <w:jc w:val="center"/>
        <w:rPr>
          <w:rFonts w:asciiTheme="minorEastAsia" w:hAnsiTheme="minorEastAsia" w:eastAsiaTheme="minorEastAsia"/>
          <w:b/>
          <w:color w:val="auto"/>
          <w:sz w:val="32"/>
          <w:szCs w:val="32"/>
          <w:highlight w:val="none"/>
        </w:rPr>
      </w:pPr>
      <w:r>
        <w:rPr>
          <w:rFonts w:asciiTheme="minorEastAsia" w:hAnsiTheme="minorEastAsia" w:eastAsiaTheme="minorEastAsia"/>
          <w:b/>
          <w:color w:val="auto"/>
          <w:sz w:val="32"/>
          <w:szCs w:val="32"/>
          <w:highlight w:val="none"/>
        </w:rPr>
        <w:t>目录</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1、声明书……………………………………………………………………………………（页码）</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2、授权委托书 ……………………………………………………………………………（页码）</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3、营业执照…………………………………………………………………………………（页码）</w:t>
      </w:r>
    </w:p>
    <w:p>
      <w:pPr>
        <w:pStyle w:val="94"/>
        <w:spacing w:line="480" w:lineRule="auto"/>
        <w:ind w:left="0" w:leftChars="0" w:firstLine="0" w:firstLineChars="0"/>
        <w:jc w:val="left"/>
        <w:rPr>
          <w:rFonts w:cs="宋体" w:asciiTheme="minorEastAsia" w:hAnsiTheme="minorEastAsia"/>
          <w:color w:val="auto"/>
          <w:sz w:val="24"/>
          <w:szCs w:val="24"/>
          <w:highlight w:val="none"/>
        </w:rPr>
      </w:pPr>
      <w:r>
        <w:rPr>
          <w:rFonts w:hint="eastAsia" w:cs="宋体" w:asciiTheme="minorEastAsia" w:hAnsiTheme="minorEastAsia"/>
          <w:color w:val="auto"/>
          <w:sz w:val="24"/>
          <w:szCs w:val="24"/>
          <w:highlight w:val="none"/>
        </w:rPr>
        <w:t>4、中小企业声明函、监狱企业、残疾人福利性单位及其他相关的充分的证明材料</w:t>
      </w:r>
      <w:r>
        <w:rPr>
          <w:rFonts w:hint="eastAsia" w:asciiTheme="minorEastAsia" w:hAnsiTheme="minorEastAsia"/>
          <w:color w:val="auto"/>
          <w:sz w:val="24"/>
          <w:szCs w:val="24"/>
          <w:highlight w:val="none"/>
        </w:rPr>
        <w:t>…（页码）</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cs="宋体" w:asciiTheme="minorEastAsia" w:hAnsiTheme="minorEastAsia"/>
          <w:color w:val="auto"/>
          <w:sz w:val="24"/>
          <w:szCs w:val="24"/>
          <w:highlight w:val="none"/>
        </w:rPr>
        <w:t>5、财务状况报告的相关材料或承诺函</w:t>
      </w:r>
      <w:r>
        <w:rPr>
          <w:rFonts w:hint="eastAsia" w:asciiTheme="minorEastAsia" w:hAnsiTheme="minorEastAsia"/>
          <w:color w:val="auto"/>
          <w:sz w:val="24"/>
          <w:szCs w:val="24"/>
          <w:highlight w:val="none"/>
        </w:rPr>
        <w:t xml:space="preserve">……………………………………………………（页码）     </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6、具有履行合同所必需的场地、设备和专业技术能力的承诺函………………………（页码）</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7、依法缴纳税收和社会保障资金的相关材料证明或承诺函……………………………（页码）</w:t>
      </w:r>
    </w:p>
    <w:p>
      <w:pPr>
        <w:pStyle w:val="94"/>
        <w:spacing w:line="480" w:lineRule="auto"/>
        <w:ind w:left="0" w:leftChars="0" w:firstLine="0" w:firstLineChars="0"/>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8、投标供应商没有失信记录承诺函………………………………………………………（页码）</w:t>
      </w:r>
    </w:p>
    <w:p>
      <w:pPr>
        <w:spacing w:line="480" w:lineRule="auto"/>
        <w:jc w:val="left"/>
        <w:rPr>
          <w:rFonts w:asciiTheme="minorEastAsia" w:hAnsiTheme="minorEastAsia" w:eastAsiaTheme="minorEastAsia"/>
          <w:color w:val="auto"/>
          <w:sz w:val="24"/>
          <w:highlight w:val="none"/>
        </w:rPr>
      </w:pPr>
      <w:r>
        <w:rPr>
          <w:rFonts w:asciiTheme="minorEastAsia" w:hAnsiTheme="minorEastAsia"/>
          <w:color w:val="auto"/>
          <w:sz w:val="24"/>
          <w:highlight w:val="none"/>
        </w:rPr>
        <w:t>………</w:t>
      </w:r>
      <w:r>
        <w:rPr>
          <w:rFonts w:asciiTheme="minorEastAsia" w:hAnsiTheme="minorEastAsia" w:eastAsiaTheme="minorEastAsia"/>
          <w:color w:val="auto"/>
          <w:sz w:val="24"/>
          <w:highlight w:val="none"/>
        </w:rPr>
        <w:t>( 目录自行扩展)</w:t>
      </w: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38"/>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spacing w:after="100" w:afterAutospacing="1"/>
        <w:jc w:val="center"/>
        <w:rPr>
          <w:rFonts w:asciiTheme="minorEastAsia" w:hAnsiTheme="minorEastAsia" w:eastAsiaTheme="minorEastAsia"/>
          <w:b/>
          <w:color w:val="auto"/>
          <w:sz w:val="32"/>
          <w:szCs w:val="32"/>
          <w:highlight w:val="none"/>
        </w:rPr>
        <w:sectPr>
          <w:footerReference r:id="rId6" w:type="default"/>
          <w:pgSz w:w="11906" w:h="16838"/>
          <w:pgMar w:top="907" w:right="1134" w:bottom="907" w:left="1134" w:header="851" w:footer="992" w:gutter="0"/>
          <w:cols w:space="720" w:num="1"/>
          <w:docGrid w:type="lines" w:linePitch="312" w:charSpace="0"/>
        </w:sectPr>
      </w:pPr>
    </w:p>
    <w:p>
      <w:pPr>
        <w:spacing w:after="100" w:afterAutospacing="1"/>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一、</w:t>
      </w:r>
      <w:r>
        <w:rPr>
          <w:rFonts w:asciiTheme="minorEastAsia" w:hAnsiTheme="minorEastAsia" w:eastAsiaTheme="minorEastAsia"/>
          <w:b/>
          <w:color w:val="auto"/>
          <w:sz w:val="32"/>
          <w:szCs w:val="32"/>
          <w:highlight w:val="none"/>
        </w:rPr>
        <w:t>声明书</w:t>
      </w:r>
    </w:p>
    <w:p>
      <w:pPr>
        <w:spacing w:line="500" w:lineRule="exact"/>
        <w:jc w:val="left"/>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u w:val="single"/>
        </w:rPr>
        <w:t>（</w:t>
      </w:r>
      <w:r>
        <w:rPr>
          <w:rFonts w:hint="eastAsia" w:asciiTheme="minorEastAsia" w:hAnsiTheme="minorEastAsia" w:eastAsiaTheme="minorEastAsia"/>
          <w:b/>
          <w:color w:val="auto"/>
          <w:szCs w:val="21"/>
          <w:highlight w:val="none"/>
          <w:u w:val="single"/>
        </w:rPr>
        <w:t>采购</w:t>
      </w:r>
      <w:r>
        <w:rPr>
          <w:rFonts w:asciiTheme="minorEastAsia" w:hAnsiTheme="minorEastAsia" w:eastAsiaTheme="minorEastAsia"/>
          <w:b/>
          <w:color w:val="auto"/>
          <w:szCs w:val="21"/>
          <w:highlight w:val="none"/>
          <w:u w:val="single"/>
        </w:rPr>
        <w:t>人名称）</w:t>
      </w:r>
      <w:r>
        <w:rPr>
          <w:rFonts w:asciiTheme="minorEastAsia" w:hAnsiTheme="minorEastAsia" w:eastAsiaTheme="minorEastAsia"/>
          <w:color w:val="auto"/>
          <w:szCs w:val="21"/>
          <w:highlight w:val="none"/>
        </w:rPr>
        <w:t>：</w:t>
      </w:r>
    </w:p>
    <w:p>
      <w:pPr>
        <w:spacing w:line="500" w:lineRule="exact"/>
        <w:ind w:firstLine="422" w:firstLineChars="200"/>
        <w:jc w:val="left"/>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u w:val="single"/>
        </w:rPr>
        <w:t>(投标人名称)</w:t>
      </w:r>
      <w:r>
        <w:rPr>
          <w:rFonts w:asciiTheme="minorEastAsia" w:hAnsiTheme="minorEastAsia" w:eastAsiaTheme="minorEastAsia"/>
          <w:color w:val="auto"/>
          <w:szCs w:val="21"/>
          <w:highlight w:val="none"/>
        </w:rPr>
        <w:t>系中华人民共和国合法企业,经营地址。</w:t>
      </w:r>
    </w:p>
    <w:p>
      <w:pPr>
        <w:spacing w:line="500" w:lineRule="exact"/>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本人</w:t>
      </w:r>
      <w:r>
        <w:rPr>
          <w:rFonts w:asciiTheme="minorEastAsia" w:hAnsiTheme="minorEastAsia" w:eastAsiaTheme="minorEastAsia"/>
          <w:b/>
          <w:color w:val="auto"/>
          <w:szCs w:val="21"/>
          <w:highlight w:val="none"/>
          <w:u w:val="single"/>
        </w:rPr>
        <w:t>（姓名）</w:t>
      </w:r>
      <w:r>
        <w:rPr>
          <w:rFonts w:asciiTheme="minorEastAsia" w:hAnsiTheme="minorEastAsia" w:eastAsiaTheme="minorEastAsia"/>
          <w:color w:val="auto"/>
          <w:szCs w:val="21"/>
          <w:highlight w:val="none"/>
        </w:rPr>
        <w:t>系</w:t>
      </w:r>
      <w:r>
        <w:rPr>
          <w:rFonts w:asciiTheme="minorEastAsia" w:hAnsiTheme="minorEastAsia" w:eastAsiaTheme="minorEastAsia"/>
          <w:b/>
          <w:color w:val="auto"/>
          <w:szCs w:val="21"/>
          <w:highlight w:val="none"/>
          <w:u w:val="single"/>
        </w:rPr>
        <w:t>（投标人名称）</w:t>
      </w:r>
      <w:r>
        <w:rPr>
          <w:rFonts w:asciiTheme="minorEastAsia" w:hAnsiTheme="minorEastAsia" w:eastAsiaTheme="minorEastAsia"/>
          <w:color w:val="auto"/>
          <w:szCs w:val="21"/>
          <w:highlight w:val="none"/>
        </w:rPr>
        <w:t>的法定代表人，我公司自愿参加贵方组织的</w:t>
      </w:r>
      <w:r>
        <w:rPr>
          <w:rFonts w:asciiTheme="minorEastAsia" w:hAnsiTheme="minorEastAsia" w:eastAsiaTheme="minorEastAsia"/>
          <w:b/>
          <w:color w:val="auto"/>
          <w:szCs w:val="21"/>
          <w:highlight w:val="none"/>
          <w:u w:val="single"/>
        </w:rPr>
        <w:t>（项目名称）（</w:t>
      </w:r>
      <w:r>
        <w:rPr>
          <w:rFonts w:hint="eastAsia" w:asciiTheme="minorEastAsia" w:hAnsiTheme="minorEastAsia" w:eastAsiaTheme="minorEastAsia"/>
          <w:b/>
          <w:color w:val="auto"/>
          <w:szCs w:val="21"/>
          <w:highlight w:val="none"/>
          <w:u w:val="single"/>
        </w:rPr>
        <w:t>项目</w:t>
      </w:r>
      <w:r>
        <w:rPr>
          <w:rFonts w:asciiTheme="minorEastAsia" w:hAnsiTheme="minorEastAsia" w:eastAsiaTheme="minorEastAsia"/>
          <w:b/>
          <w:color w:val="auto"/>
          <w:szCs w:val="21"/>
          <w:highlight w:val="none"/>
          <w:u w:val="single"/>
        </w:rPr>
        <w:t>编号）</w:t>
      </w:r>
      <w:r>
        <w:rPr>
          <w:rFonts w:asciiTheme="minorEastAsia" w:hAnsiTheme="minorEastAsia" w:eastAsiaTheme="minorEastAsia"/>
          <w:color w:val="auto"/>
          <w:szCs w:val="21"/>
          <w:highlight w:val="none"/>
        </w:rPr>
        <w:t>的投标，为此，我公司就本次投标有关事项郑重声明如下：</w:t>
      </w:r>
    </w:p>
    <w:p>
      <w:pPr>
        <w:spacing w:line="500" w:lineRule="exact"/>
        <w:ind w:firstLine="422" w:firstLineChars="200"/>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1、我公司声明截止投标时间近三年以来，在政府采购领域中的项目招标、投标和合同履约期间无任何不良行为记录和违法、违规行为。</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2、我公司在参与投标前已详细审查了和所有相关资料，我方完全明白并认为此没有倾向性，也没有存在排斥潜在投标人的内容，我方同意的相关条款，放弃对提出误解和质疑的一切权利。</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3、我公司不是采购人的附属机构；在获知本项目招标信息后，与采购人聘请的为此项目提供咨询服务的公司及其附属机构没有任何联系。</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4、我公司向贵方提交的所有投标文件、资料都是准确、真实、合法的。</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5、我公司提供的所有检测数据均真实有效。</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5、若中标，我公司将按规定履行合同责任和义务。</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6、我公司保证，采购人在中华人民共和国境内使用我公司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500" w:lineRule="exact"/>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7、以上事项如有虚假或隐瞒，我公司愿意承担一切后果，并不再寻求任何旨在减轻或免除法律责任的辩解。</w:t>
      </w:r>
    </w:p>
    <w:p>
      <w:pPr>
        <w:spacing w:line="500" w:lineRule="exact"/>
        <w:ind w:firstLine="420" w:firstLineChars="200"/>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投标人名称(公章)：</w:t>
      </w:r>
    </w:p>
    <w:p>
      <w:pPr>
        <w:pStyle w:val="27"/>
        <w:spacing w:line="500" w:lineRule="exact"/>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法定代表人或授权委托人(签字或盖章)：</w:t>
      </w:r>
    </w:p>
    <w:p>
      <w:pPr>
        <w:pStyle w:val="27"/>
        <w:spacing w:line="500" w:lineRule="exact"/>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日期：年月日</w:t>
      </w:r>
    </w:p>
    <w:p>
      <w:pPr>
        <w:spacing w:after="100" w:afterAutospacing="1" w:line="360" w:lineRule="auto"/>
        <w:jc w:val="center"/>
        <w:rPr>
          <w:rFonts w:asciiTheme="minorEastAsia" w:hAnsiTheme="minorEastAsia" w:eastAsiaTheme="minorEastAsia"/>
          <w:b/>
          <w:color w:val="auto"/>
          <w:szCs w:val="21"/>
          <w:highlight w:val="none"/>
        </w:rPr>
      </w:pPr>
    </w:p>
    <w:p>
      <w:pPr>
        <w:spacing w:after="100" w:afterAutospacing="1"/>
        <w:jc w:val="center"/>
        <w:rPr>
          <w:rFonts w:asciiTheme="minorEastAsia" w:hAnsiTheme="minorEastAsia" w:eastAsiaTheme="minorEastAsia"/>
          <w:b/>
          <w:color w:val="auto"/>
          <w:sz w:val="32"/>
          <w:szCs w:val="32"/>
          <w:highlight w:val="none"/>
        </w:rPr>
        <w:sectPr>
          <w:pgSz w:w="11906" w:h="16838"/>
          <w:pgMar w:top="907" w:right="1134" w:bottom="907" w:left="1134" w:header="851" w:footer="992" w:gutter="0"/>
          <w:cols w:space="720" w:num="1"/>
          <w:docGrid w:type="lines" w:linePitch="312" w:charSpace="0"/>
        </w:sectPr>
      </w:pPr>
    </w:p>
    <w:p>
      <w:pPr>
        <w:spacing w:after="100" w:afterAutospacing="1"/>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w:t>
      </w:r>
      <w:r>
        <w:rPr>
          <w:rFonts w:asciiTheme="minorEastAsia" w:hAnsiTheme="minorEastAsia" w:eastAsiaTheme="minorEastAsia"/>
          <w:b/>
          <w:color w:val="auto"/>
          <w:sz w:val="32"/>
          <w:szCs w:val="32"/>
          <w:highlight w:val="none"/>
        </w:rPr>
        <w:t>法定代表人授权书</w:t>
      </w:r>
    </w:p>
    <w:p>
      <w:pPr>
        <w:snapToGrid w:val="0"/>
        <w:spacing w:beforeLines="50" w:after="50" w:line="360" w:lineRule="auto"/>
        <w:rPr>
          <w:rFonts w:asciiTheme="minorEastAsia" w:hAnsiTheme="minorEastAsia" w:eastAsiaTheme="minorEastAsia"/>
          <w:b/>
          <w:bCs/>
          <w:color w:val="auto"/>
          <w:szCs w:val="21"/>
          <w:highlight w:val="none"/>
          <w:u w:val="single"/>
        </w:rPr>
      </w:pPr>
      <w:r>
        <w:rPr>
          <w:rFonts w:hint="eastAsia" w:asciiTheme="minorEastAsia" w:hAnsiTheme="minorEastAsia" w:eastAsiaTheme="minorEastAsia"/>
          <w:bCs/>
          <w:color w:val="auto"/>
          <w:szCs w:val="21"/>
          <w:highlight w:val="none"/>
        </w:rPr>
        <w:t>致：</w:t>
      </w:r>
      <w:r>
        <w:rPr>
          <w:rFonts w:asciiTheme="minorEastAsia" w:hAnsiTheme="minorEastAsia" w:eastAsiaTheme="minorEastAsia"/>
          <w:bCs/>
          <w:color w:val="auto"/>
          <w:szCs w:val="21"/>
          <w:highlight w:val="none"/>
          <w:u w:val="single"/>
        </w:rPr>
        <w:t xml:space="preserve">   （采购人名称）  </w:t>
      </w:r>
    </w:p>
    <w:p>
      <w:pPr>
        <w:snapToGrid w:val="0"/>
        <w:spacing w:beforeLines="50" w:after="50" w:line="360" w:lineRule="auto"/>
        <w:ind w:firstLine="630" w:firstLineChars="3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我</w:t>
      </w:r>
      <w:r>
        <w:rPr>
          <w:rFonts w:hint="eastAsia" w:asciiTheme="minorEastAsia" w:hAnsiTheme="minorEastAsia" w:eastAsiaTheme="minorEastAsia"/>
          <w:b/>
          <w:color w:val="auto"/>
          <w:szCs w:val="21"/>
          <w:highlight w:val="none"/>
          <w:u w:val="single"/>
        </w:rPr>
        <w:t xml:space="preserve">（姓名） </w:t>
      </w:r>
      <w:r>
        <w:rPr>
          <w:rFonts w:hint="eastAsia" w:asciiTheme="minorEastAsia" w:hAnsiTheme="minorEastAsia" w:eastAsiaTheme="minorEastAsia"/>
          <w:color w:val="auto"/>
          <w:szCs w:val="21"/>
          <w:highlight w:val="none"/>
        </w:rPr>
        <w:t xml:space="preserve">  系</w:t>
      </w:r>
      <w:r>
        <w:rPr>
          <w:rFonts w:hint="eastAsia" w:asciiTheme="minorEastAsia" w:hAnsiTheme="minorEastAsia" w:eastAsiaTheme="minorEastAsia"/>
          <w:b/>
          <w:color w:val="auto"/>
          <w:szCs w:val="21"/>
          <w:highlight w:val="none"/>
          <w:u w:val="single"/>
        </w:rPr>
        <w:t xml:space="preserve">  （投标人名称）</w:t>
      </w:r>
      <w:r>
        <w:rPr>
          <w:rFonts w:hint="eastAsia" w:asciiTheme="minorEastAsia" w:hAnsiTheme="minorEastAsia" w:eastAsiaTheme="minorEastAsia"/>
          <w:color w:val="auto"/>
          <w:szCs w:val="21"/>
          <w:highlight w:val="none"/>
        </w:rPr>
        <w:t>的法定代表人，现授权委托本单位在职职工</w:t>
      </w:r>
      <w:r>
        <w:rPr>
          <w:rFonts w:hint="eastAsia" w:asciiTheme="minorEastAsia" w:hAnsiTheme="minorEastAsia" w:eastAsiaTheme="minorEastAsia"/>
          <w:b/>
          <w:color w:val="auto"/>
          <w:szCs w:val="21"/>
          <w:highlight w:val="none"/>
          <w:u w:val="single"/>
        </w:rPr>
        <w:t xml:space="preserve">（姓名）   </w:t>
      </w:r>
      <w:r>
        <w:rPr>
          <w:rFonts w:hint="eastAsia" w:asciiTheme="minorEastAsia" w:hAnsiTheme="minorEastAsia" w:eastAsiaTheme="minorEastAsia"/>
          <w:color w:val="auto"/>
          <w:szCs w:val="21"/>
          <w:highlight w:val="none"/>
        </w:rPr>
        <w:t>以我方的名义参加</w:t>
      </w:r>
      <w:r>
        <w:rPr>
          <w:rFonts w:hint="eastAsia" w:asciiTheme="minorEastAsia" w:hAnsiTheme="minorEastAsia" w:eastAsiaTheme="minorEastAsia"/>
          <w:b/>
          <w:color w:val="auto"/>
          <w:szCs w:val="21"/>
          <w:highlight w:val="none"/>
          <w:u w:val="single"/>
        </w:rPr>
        <w:t xml:space="preserve">  （项目编号） （项目名称）  </w:t>
      </w:r>
      <w:r>
        <w:rPr>
          <w:rFonts w:hint="eastAsia" w:asciiTheme="minorEastAsia" w:hAnsiTheme="minorEastAsia" w:eastAsiaTheme="minorEastAsia"/>
          <w:color w:val="auto"/>
          <w:szCs w:val="21"/>
          <w:highlight w:val="none"/>
        </w:rPr>
        <w:t>项目的投标活动，并代表我方全权办理针对上述项目的投标、开标、评标、签约等具体事务和签署相关文件。</w:t>
      </w: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我方对被授权人的签名事项负全部责任。</w:t>
      </w:r>
    </w:p>
    <w:p>
      <w:pPr>
        <w:snapToGrid w:val="0"/>
        <w:spacing w:beforeLines="50" w:after="50" w:line="360" w:lineRule="auto"/>
        <w:ind w:firstLine="48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在撤销授权的书面通知以前，本授权书一直有效。</w:t>
      </w:r>
      <w:r>
        <w:rPr>
          <w:rFonts w:hint="eastAsia" w:asciiTheme="minorEastAsia" w:hAnsiTheme="minorEastAsia" w:eastAsiaTheme="minorEastAsia"/>
          <w:color w:val="auto"/>
          <w:szCs w:val="21"/>
          <w:highlight w:val="none"/>
        </w:rPr>
        <w:t>被授权人在授权书有效期内签署的所有文件不因授权的撤销而失效。</w:t>
      </w:r>
    </w:p>
    <w:p>
      <w:pPr>
        <w:snapToGrid w:val="0"/>
        <w:spacing w:beforeLines="50" w:after="50" w:line="360" w:lineRule="auto"/>
        <w:ind w:firstLine="48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被授权人无转委托权，特此委托。</w:t>
      </w:r>
    </w:p>
    <w:p>
      <w:pPr>
        <w:snapToGrid w:val="0"/>
        <w:spacing w:beforeLines="50" w:after="50" w:line="360" w:lineRule="auto"/>
        <w:rPr>
          <w:rFonts w:asciiTheme="minorEastAsia" w:hAnsiTheme="minorEastAsia" w:eastAsiaTheme="minorEastAsia"/>
          <w:color w:val="auto"/>
          <w:szCs w:val="21"/>
          <w:highlight w:val="none"/>
        </w:rPr>
      </w:pPr>
    </w:p>
    <w:p>
      <w:pPr>
        <w:snapToGrid w:val="0"/>
        <w:spacing w:beforeLines="50" w:after="50"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授权委托代理人（签字或盖章）：                       法定代表人</w:t>
      </w:r>
      <w:r>
        <w:rPr>
          <w:rFonts w:hint="eastAsia" w:cs="宋体" w:asciiTheme="minorEastAsia" w:hAnsiTheme="minorEastAsia" w:eastAsiaTheme="minorEastAsia"/>
          <w:color w:val="auto"/>
          <w:szCs w:val="21"/>
          <w:highlight w:val="none"/>
        </w:rPr>
        <w:t>（签字或盖章）</w:t>
      </w:r>
      <w:r>
        <w:rPr>
          <w:rFonts w:hint="eastAsia" w:asciiTheme="minorEastAsia" w:hAnsiTheme="minorEastAsia" w:eastAsiaTheme="minorEastAsia"/>
          <w:color w:val="auto"/>
          <w:szCs w:val="21"/>
          <w:highlight w:val="none"/>
        </w:rPr>
        <w:t>：</w:t>
      </w: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职务：                                              职务：</w:t>
      </w: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被授权人身份证号码：</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传真：</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电话：</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详细通讯地址：</w:t>
      </w:r>
    </w:p>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邮政编码：</w:t>
      </w:r>
    </w:p>
    <w:p>
      <w:pPr>
        <w:snapToGrid w:val="0"/>
        <w:spacing w:beforeLines="50" w:after="50" w:line="360" w:lineRule="auto"/>
        <w:rPr>
          <w:rFonts w:asciiTheme="minorEastAsia" w:hAnsiTheme="minorEastAsia" w:eastAsiaTheme="minorEastAsia"/>
          <w:color w:val="auto"/>
          <w:szCs w:val="21"/>
          <w:highlight w:val="none"/>
        </w:rPr>
      </w:pP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（附法定代表人及授权委托代理人身份证正反双面扫描件</w:t>
      </w:r>
      <w:r>
        <w:rPr>
          <w:rFonts w:hint="eastAsia" w:asciiTheme="minorEastAsia" w:hAnsiTheme="minorEastAsia" w:eastAsiaTheme="minorEastAsia"/>
          <w:color w:val="auto"/>
          <w:szCs w:val="21"/>
          <w:highlight w:val="none"/>
        </w:rPr>
        <w:t>）</w:t>
      </w:r>
    </w:p>
    <w:p>
      <w:pPr>
        <w:snapToGrid w:val="0"/>
        <w:spacing w:beforeLines="50" w:after="50" w:line="360" w:lineRule="auto"/>
        <w:rPr>
          <w:rFonts w:asciiTheme="minorEastAsia" w:hAnsiTheme="minorEastAsia" w:eastAsiaTheme="minorEastAsia"/>
          <w:color w:val="auto"/>
          <w:szCs w:val="21"/>
          <w:highlight w:val="none"/>
        </w:rPr>
      </w:pPr>
    </w:p>
    <w:p>
      <w:pPr>
        <w:snapToGrid w:val="0"/>
        <w:spacing w:beforeLines="50" w:after="50"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投标人名称</w:t>
      </w:r>
      <w:r>
        <w:rPr>
          <w:rFonts w:asciiTheme="minorEastAsia" w:hAnsiTheme="minorEastAsia" w:eastAsiaTheme="minorEastAsia"/>
          <w:color w:val="auto"/>
          <w:szCs w:val="21"/>
          <w:highlight w:val="none"/>
        </w:rPr>
        <w:t>(公章)：</w:t>
      </w:r>
      <w:r>
        <w:rPr>
          <w:rFonts w:hint="eastAsia" w:asciiTheme="minorEastAsia" w:hAnsiTheme="minorEastAsia" w:eastAsiaTheme="minorEastAsia"/>
          <w:color w:val="auto"/>
          <w:szCs w:val="21"/>
          <w:highlight w:val="none"/>
        </w:rPr>
        <w:t xml:space="preserve">                                     年  月  日</w:t>
      </w:r>
    </w:p>
    <w:p>
      <w:pPr>
        <w:pStyle w:val="103"/>
        <w:rPr>
          <w:rFonts w:asciiTheme="minorEastAsia" w:hAnsiTheme="minorEastAsia" w:eastAsiaTheme="minorEastAsia"/>
          <w:color w:val="auto"/>
          <w:sz w:val="21"/>
          <w:szCs w:val="21"/>
          <w:highlight w:val="none"/>
        </w:rPr>
      </w:pPr>
    </w:p>
    <w:p>
      <w:pPr>
        <w:pStyle w:val="103"/>
        <w:rPr>
          <w:rFonts w:asciiTheme="minorEastAsia" w:hAnsiTheme="minorEastAsia" w:eastAsiaTheme="minorEastAsia"/>
          <w:color w:val="auto"/>
          <w:sz w:val="21"/>
          <w:szCs w:val="21"/>
          <w:highlight w:val="none"/>
        </w:rPr>
      </w:pPr>
    </w:p>
    <w:p>
      <w:pPr>
        <w:pStyle w:val="103"/>
        <w:rPr>
          <w:rFonts w:asciiTheme="minorEastAsia" w:hAnsiTheme="minorEastAsia" w:eastAsiaTheme="minorEastAsia"/>
          <w:color w:val="auto"/>
          <w:sz w:val="21"/>
          <w:szCs w:val="21"/>
          <w:highlight w:val="none"/>
        </w:rPr>
      </w:pPr>
    </w:p>
    <w:p>
      <w:pPr>
        <w:pStyle w:val="94"/>
        <w:pageBreakBefore/>
        <w:ind w:firstLine="643"/>
        <w:jc w:val="center"/>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三、营业执照</w:t>
      </w: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562"/>
        <w:jc w:val="center"/>
        <w:rPr>
          <w:rFonts w:asciiTheme="minorEastAsia" w:hAnsiTheme="minorEastAsia"/>
          <w:b/>
          <w:color w:val="auto"/>
          <w:sz w:val="28"/>
          <w:highlight w:val="none"/>
        </w:rPr>
      </w:pPr>
    </w:p>
    <w:p>
      <w:pPr>
        <w:pStyle w:val="94"/>
        <w:ind w:left="0" w:leftChars="0" w:firstLine="0" w:firstLineChars="0"/>
        <w:rPr>
          <w:rFonts w:asciiTheme="minorEastAsia" w:hAnsiTheme="minorEastAsia"/>
          <w:b/>
          <w:color w:val="auto"/>
          <w:sz w:val="28"/>
          <w:highlight w:val="none"/>
        </w:rPr>
      </w:pPr>
    </w:p>
    <w:p>
      <w:pPr>
        <w:pStyle w:val="94"/>
        <w:ind w:left="0" w:leftChars="0" w:firstLine="0" w:firstLineChars="0"/>
        <w:rPr>
          <w:rFonts w:asciiTheme="minorEastAsia" w:hAnsiTheme="minorEastAsia"/>
          <w:b/>
          <w:color w:val="auto"/>
          <w:sz w:val="28"/>
          <w:highlight w:val="none"/>
        </w:rPr>
      </w:pPr>
    </w:p>
    <w:p>
      <w:pPr>
        <w:pStyle w:val="94"/>
        <w:ind w:left="0" w:leftChars="0" w:firstLine="0" w:firstLineChars="0"/>
        <w:rPr>
          <w:rFonts w:asciiTheme="minorEastAsia" w:hAnsiTheme="minorEastAsia"/>
          <w:b/>
          <w:color w:val="auto"/>
          <w:sz w:val="28"/>
          <w:highlight w:val="none"/>
        </w:rPr>
      </w:pPr>
    </w:p>
    <w:p>
      <w:pPr>
        <w:pStyle w:val="94"/>
        <w:ind w:left="0" w:leftChars="0" w:firstLine="0" w:firstLineChars="0"/>
        <w:rPr>
          <w:rFonts w:asciiTheme="minorEastAsia" w:hAnsiTheme="minorEastAsia"/>
          <w:b/>
          <w:color w:val="auto"/>
          <w:sz w:val="28"/>
          <w:highlight w:val="none"/>
        </w:rPr>
      </w:pPr>
    </w:p>
    <w:p>
      <w:pPr>
        <w:pageBreakBefore/>
        <w:spacing w:line="360" w:lineRule="auto"/>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四-1、</w:t>
      </w:r>
      <w:r>
        <w:rPr>
          <w:rFonts w:cs="宋体" w:asciiTheme="minorEastAsia" w:hAnsiTheme="minorEastAsia" w:eastAsiaTheme="minorEastAsia"/>
          <w:b/>
          <w:bCs/>
          <w:color w:val="auto"/>
          <w:kern w:val="0"/>
          <w:sz w:val="32"/>
          <w:szCs w:val="32"/>
          <w:highlight w:val="none"/>
        </w:rPr>
        <w:t>中小企业声明函</w:t>
      </w:r>
    </w:p>
    <w:p>
      <w:pPr>
        <w:pStyle w:val="16"/>
        <w:spacing w:line="360" w:lineRule="auto"/>
        <w:ind w:left="420"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本公司（联合体）郑重声明，根据《政府采购促进中小企业发展管理办法》（财库〔2020〕46号）的规定，本公司（联合体）参加</w:t>
      </w:r>
      <w:r>
        <w:rPr>
          <w:rFonts w:hint="eastAsia" w:ascii="宋体" w:hAnsi="宋体" w:cs="宋体"/>
          <w:color w:val="auto"/>
          <w:sz w:val="24"/>
          <w:highlight w:val="none"/>
          <w:u w:val="single"/>
        </w:rPr>
        <w:t>（单位名称）</w:t>
      </w:r>
      <w:r>
        <w:rPr>
          <w:rFonts w:hint="eastAsia" w:ascii="宋体" w:hAnsi="宋体" w:cs="宋体"/>
          <w:color w:val="auto"/>
          <w:sz w:val="24"/>
          <w:highlight w:val="none"/>
        </w:rPr>
        <w:t>的</w:t>
      </w:r>
      <w:r>
        <w:rPr>
          <w:rFonts w:hint="eastAsia" w:ascii="宋体" w:hAnsi="宋体" w:cs="宋体"/>
          <w:color w:val="auto"/>
          <w:sz w:val="24"/>
          <w:highlight w:val="none"/>
          <w:u w:val="single"/>
        </w:rPr>
        <w:t>（项目名称）</w:t>
      </w:r>
      <w:r>
        <w:rPr>
          <w:rFonts w:hint="eastAsia" w:ascii="宋体" w:hAnsi="宋体" w:cs="宋体"/>
          <w:color w:val="auto"/>
          <w:sz w:val="24"/>
          <w:highlight w:val="none"/>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行业；制造商为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，从业人员人，营业收入为万元，资产总额为万元</w:t>
      </w:r>
      <w:r>
        <w:rPr>
          <w:rFonts w:hint="eastAsia" w:ascii="宋体" w:hAnsi="宋体" w:cs="宋体"/>
          <w:color w:val="auto"/>
          <w:sz w:val="24"/>
          <w:highlight w:val="none"/>
          <w:vertAlign w:val="superscript"/>
        </w:rPr>
        <w:fldChar w:fldCharType="begin"/>
      </w:r>
      <w:r>
        <w:rPr>
          <w:rFonts w:hint="eastAsia" w:ascii="宋体" w:hAnsi="宋体" w:cs="宋体"/>
          <w:color w:val="auto"/>
          <w:sz w:val="24"/>
          <w:highlight w:val="none"/>
          <w:vertAlign w:val="superscript"/>
        </w:rPr>
        <w:instrText xml:space="preserve"> = 1 \* GB3 </w:instrText>
      </w:r>
      <w:r>
        <w:rPr>
          <w:rFonts w:hint="eastAsia" w:ascii="宋体" w:hAnsi="宋体" w:cs="宋体"/>
          <w:color w:val="auto"/>
          <w:sz w:val="24"/>
          <w:highlight w:val="none"/>
          <w:vertAlign w:val="superscript"/>
        </w:rPr>
        <w:fldChar w:fldCharType="separate"/>
      </w:r>
      <w:r>
        <w:rPr>
          <w:rFonts w:hint="eastAsia" w:ascii="宋体" w:hAnsi="宋体" w:cs="宋体"/>
          <w:color w:val="auto"/>
          <w:sz w:val="24"/>
          <w:highlight w:val="none"/>
          <w:vertAlign w:val="superscript"/>
        </w:rPr>
        <w:t>①</w:t>
      </w:r>
      <w:r>
        <w:rPr>
          <w:rFonts w:hint="eastAsia" w:ascii="宋体" w:hAnsi="宋体" w:cs="宋体"/>
          <w:color w:val="auto"/>
          <w:sz w:val="24"/>
          <w:highlight w:val="none"/>
          <w:vertAlign w:val="superscript"/>
        </w:rPr>
        <w:fldChar w:fldCharType="end"/>
      </w:r>
      <w:r>
        <w:rPr>
          <w:rFonts w:hint="eastAsia" w:ascii="宋体" w:hAnsi="宋体" w:cs="宋体"/>
          <w:color w:val="auto"/>
          <w:sz w:val="24"/>
          <w:highlight w:val="none"/>
        </w:rPr>
        <w:t>，属于（中型企业、小型企业、微型企业）；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行业；制造商为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，从业人员人，营业收入为万元，资产总额为万元，属于（中型企业、小型企业、微型企业）；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numPr>
          <w:ilvl w:val="0"/>
          <w:numId w:val="7"/>
        </w:numPr>
        <w:spacing w:line="360" w:lineRule="auto"/>
        <w:ind w:left="435"/>
        <w:rPr>
          <w:rFonts w:ascii="宋体" w:hAnsi="宋体"/>
          <w:color w:val="auto"/>
          <w:szCs w:val="21"/>
          <w:highlight w:val="none"/>
        </w:rPr>
      </w:pPr>
      <w:r>
        <w:rPr>
          <w:rFonts w:hint="eastAsia" w:ascii="宋体" w:hAnsi="宋体"/>
          <w:color w:val="auto"/>
          <w:szCs w:val="21"/>
          <w:highlight w:val="none"/>
        </w:rPr>
        <w:t>如响应产品由小微企业生产，则需提供中小企业声明函。</w:t>
      </w:r>
    </w:p>
    <w:p>
      <w:pPr>
        <w:numPr>
          <w:ilvl w:val="0"/>
          <w:numId w:val="7"/>
        </w:numPr>
        <w:spacing w:line="360" w:lineRule="auto"/>
        <w:ind w:left="435"/>
        <w:rPr>
          <w:rFonts w:ascii="宋体" w:hAnsi="宋体"/>
          <w:color w:val="auto"/>
          <w:szCs w:val="21"/>
          <w:highlight w:val="none"/>
        </w:rPr>
      </w:pPr>
      <w:r>
        <w:rPr>
          <w:rFonts w:hint="eastAsia" w:ascii="宋体" w:hAnsi="宋体"/>
          <w:color w:val="auto"/>
          <w:szCs w:val="21"/>
          <w:highlight w:val="none"/>
        </w:rPr>
        <w:t>小微企业提供的货物既有中小企业制造货物，也有大型企业制造货物的，不享受中小企业扶持政策。</w:t>
      </w:r>
    </w:p>
    <w:p>
      <w:pPr>
        <w:numPr>
          <w:ilvl w:val="0"/>
          <w:numId w:val="7"/>
        </w:numPr>
        <w:spacing w:line="360" w:lineRule="auto"/>
        <w:ind w:left="435"/>
        <w:rPr>
          <w:rFonts w:ascii="宋体" w:hAnsi="宋体"/>
          <w:color w:val="auto"/>
          <w:szCs w:val="21"/>
          <w:highlight w:val="none"/>
        </w:rPr>
      </w:pPr>
      <w:r>
        <w:rPr>
          <w:rFonts w:hint="eastAsia" w:ascii="宋体" w:hAnsi="宋体"/>
          <w:color w:val="auto"/>
          <w:szCs w:val="21"/>
          <w:highlight w:val="none"/>
        </w:rPr>
        <w:t>如成交人声明为小微企业，本声明函将随成交结果同时公告，接受社会监督。</w:t>
      </w:r>
    </w:p>
    <w:p>
      <w:pPr>
        <w:wordWrap w:val="0"/>
        <w:spacing w:line="360" w:lineRule="auto"/>
        <w:rPr>
          <w:rFonts w:ascii="宋体" w:hAnsi="宋体" w:cs="宋体"/>
          <w:color w:val="auto"/>
          <w:sz w:val="24"/>
          <w:highlight w:val="none"/>
        </w:rPr>
      </w:pPr>
    </w:p>
    <w:p>
      <w:pPr>
        <w:wordWrap w:val="0"/>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 xml:space="preserve">企业名称（盖章）：        </w:t>
      </w:r>
    </w:p>
    <w:p>
      <w:pPr>
        <w:wordWrap w:val="0"/>
        <w:spacing w:line="360" w:lineRule="auto"/>
        <w:ind w:firstLine="480" w:firstLineChars="200"/>
        <w:jc w:val="right"/>
        <w:rPr>
          <w:rFonts w:ascii="宋体" w:hAnsi="宋体" w:cs="宋体"/>
          <w:color w:val="auto"/>
          <w:sz w:val="24"/>
          <w:highlight w:val="none"/>
        </w:rPr>
      </w:pPr>
    </w:p>
    <w:p>
      <w:pPr>
        <w:wordWrap w:val="0"/>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 xml:space="preserve">日 期：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L0+y4H2AQAA1gMAAA4AAABkcnMvZTJvRG9jLnhtbK1TzW4TMRC+&#10;I/EOlu9k06ilYZVND43KBUEkygNMvXbWkv/kcbPJS/ACSNzgxJE7b0N5DMbebZqWSw/k4Iw9nm/m&#10;+/zt4mJnDdvKiNq7hp9MppxJJ3yr3abhn66vXs05wwSuBeOdbPheIr9Yvnyx6EMtZ77zppWREYjD&#10;ug8N71IKdVWh6KQFnPggHSWVjxYSbeOmaiP0hG5NNZtOX1e9j22IXkhEOl0NST4ixucAeqW0kCsv&#10;bq10aUCN0kAiStjpgHxZplVKivRBKZSJmYYT01RWakLxTV6r5QLqTYTQaTGOAM8Z4QknC9pR0wPU&#10;ChKw26j/gbJaRI9epYnwthqIFEWIxcn0iTYfOwiycCGpMRxEx/8HK95v15HplpxAkjiw9OJ3X37+&#10;/vztz6+vtN79+M4oQzL1AWu6fenWcdxhWMfMeaeizf/Ehu2KtPuDtHKXmKDD2Zv56fkptRD3ueqh&#10;MERMb6W3LAcNN9pl1lDD9h0makZX76/kY+evtDHl5YxjPY1+Nj8/I2ggOyqyAYU2ECV0G87AbMjn&#10;IsUCid7oNpdnINzjpYlsC2QOcmjr+2ualzMDmChBJMovs6cRHpXmeVaA3VBcUoOXrE70eRhtGz4/&#10;rjYud5TFkiOrrOigYY5ufLsv0lZ5R89dmo7WzH463lN8/Dku/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vT7LgfYBAADW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1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①</w:t>
      </w:r>
      <w:r>
        <w:rPr>
          <w:rFonts w:hint="eastAsia" w:ascii="宋体" w:hAnsi="宋体" w:cs="宋体"/>
          <w:color w:val="auto"/>
          <w:sz w:val="24"/>
          <w:highlight w:val="none"/>
        </w:rPr>
        <w:fldChar w:fldCharType="end"/>
      </w:r>
      <w:r>
        <w:rPr>
          <w:rFonts w:hint="eastAsia" w:ascii="宋体" w:hAnsi="宋体" w:cs="宋体"/>
          <w:color w:val="auto"/>
          <w:sz w:val="24"/>
          <w:highlight w:val="none"/>
        </w:rPr>
        <w:t>从业人员、营业收入、资产总额填报上一年度数据，无上一年度数据的新成立企业可不填报。</w:t>
      </w:r>
    </w:p>
    <w:p>
      <w:pPr>
        <w:pageBreakBefore/>
        <w:spacing w:line="360" w:lineRule="auto"/>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四-2、</w:t>
      </w:r>
      <w:r>
        <w:rPr>
          <w:rFonts w:cs="宋体" w:asciiTheme="minorEastAsia" w:hAnsiTheme="minorEastAsia" w:eastAsiaTheme="minorEastAsia"/>
          <w:b/>
          <w:bCs/>
          <w:color w:val="auto"/>
          <w:kern w:val="0"/>
          <w:sz w:val="32"/>
          <w:szCs w:val="32"/>
          <w:highlight w:val="none"/>
        </w:rPr>
        <w:t>残疾人福利性单位声明函</w:t>
      </w:r>
    </w:p>
    <w:p>
      <w:pPr>
        <w:snapToGrid w:val="0"/>
        <w:ind w:firstLine="641"/>
        <w:jc w:val="center"/>
        <w:rPr>
          <w:rFonts w:asciiTheme="minorEastAsia" w:hAnsiTheme="minorEastAsia" w:eastAsiaTheme="minorEastAsia"/>
          <w:b/>
          <w:bCs/>
          <w:color w:val="auto"/>
          <w:sz w:val="24"/>
          <w:highlight w:val="none"/>
        </w:rPr>
      </w:pPr>
    </w:p>
    <w:p>
      <w:pPr>
        <w:adjustRightInd w:val="0"/>
        <w:snapToGrid w:val="0"/>
        <w:spacing w:line="600" w:lineRule="auto"/>
        <w:ind w:firstLine="504"/>
        <w:rPr>
          <w:rFonts w:asciiTheme="minorEastAsia" w:hAnsiTheme="minorEastAsia" w:eastAsiaTheme="minorEastAsia"/>
          <w:color w:val="auto"/>
          <w:spacing w:val="6"/>
          <w:szCs w:val="21"/>
          <w:highlight w:val="none"/>
        </w:rPr>
      </w:pPr>
      <w:r>
        <w:rPr>
          <w:rFonts w:asciiTheme="minorEastAsia" w:hAnsiTheme="minorEastAsia" w:eastAsiaTheme="minorEastAsia"/>
          <w:color w:val="auto"/>
          <w:spacing w:val="6"/>
          <w:szCs w:val="21"/>
          <w:highlight w:val="none"/>
        </w:rPr>
        <w:t>本单位郑重声明，根据《财政部民政部中国残疾人联合会关于促进残疾人就业政府采购政策的通知》（财库</w:t>
      </w:r>
      <w:r>
        <w:rPr>
          <w:rFonts w:asciiTheme="minorEastAsia" w:hAnsiTheme="minorEastAsia" w:eastAsiaTheme="minorEastAsia"/>
          <w:color w:val="auto"/>
          <w:szCs w:val="21"/>
          <w:highlight w:val="none"/>
        </w:rPr>
        <w:t>〔2017〕141</w:t>
      </w:r>
      <w:r>
        <w:rPr>
          <w:rFonts w:asciiTheme="minorEastAsia" w:hAnsiTheme="minorEastAsia" w:eastAsiaTheme="minorEastAsia"/>
          <w:color w:val="auto"/>
          <w:spacing w:val="6"/>
          <w:szCs w:val="21"/>
          <w:highlight w:val="none"/>
        </w:rPr>
        <w:t>号）的规定，本单位为符合条件的残疾人福利性单位，且本单位参加</w:t>
      </w:r>
      <w:r>
        <w:rPr>
          <w:rFonts w:asciiTheme="minorEastAsia" w:hAnsiTheme="minorEastAsia" w:eastAsiaTheme="minorEastAsia"/>
          <w:color w:val="auto"/>
          <w:spacing w:val="6"/>
          <w:szCs w:val="21"/>
          <w:highlight w:val="none"/>
          <w:u w:val="single"/>
        </w:rPr>
        <w:t>（采购人名称）</w:t>
      </w:r>
      <w:r>
        <w:rPr>
          <w:rFonts w:asciiTheme="minorEastAsia" w:hAnsiTheme="minorEastAsia" w:eastAsiaTheme="minorEastAsia"/>
          <w:color w:val="auto"/>
          <w:spacing w:val="6"/>
          <w:szCs w:val="21"/>
          <w:highlight w:val="none"/>
        </w:rPr>
        <w:t>单位的</w:t>
      </w:r>
      <w:r>
        <w:rPr>
          <w:rFonts w:asciiTheme="minorEastAsia" w:hAnsiTheme="minorEastAsia" w:eastAsiaTheme="minorEastAsia"/>
          <w:color w:val="auto"/>
          <w:spacing w:val="6"/>
          <w:szCs w:val="21"/>
          <w:highlight w:val="none"/>
          <w:u w:val="single"/>
        </w:rPr>
        <w:t>（项目名称）</w:t>
      </w:r>
      <w:r>
        <w:rPr>
          <w:rFonts w:asciiTheme="minorEastAsia" w:hAnsiTheme="minorEastAsia" w:eastAsiaTheme="minorEastAsia"/>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600" w:lineRule="auto"/>
        <w:ind w:firstLine="504"/>
        <w:rPr>
          <w:rFonts w:asciiTheme="minorEastAsia" w:hAnsiTheme="minorEastAsia" w:eastAsiaTheme="minorEastAsia"/>
          <w:color w:val="auto"/>
          <w:spacing w:val="6"/>
          <w:szCs w:val="21"/>
          <w:highlight w:val="none"/>
        </w:rPr>
      </w:pPr>
      <w:r>
        <w:rPr>
          <w:rFonts w:asciiTheme="minorEastAsia" w:hAnsiTheme="minorEastAsia" w:eastAsiaTheme="minorEastAsia"/>
          <w:color w:val="auto"/>
          <w:spacing w:val="6"/>
          <w:szCs w:val="21"/>
          <w:highlight w:val="none"/>
        </w:rPr>
        <w:t>本单位对上述声明的真实性负责。如有虚假，将依法承担相应责任。</w:t>
      </w:r>
    </w:p>
    <w:p>
      <w:pPr>
        <w:snapToGrid w:val="0"/>
        <w:spacing w:line="600" w:lineRule="auto"/>
        <w:ind w:firstLine="504"/>
        <w:rPr>
          <w:rFonts w:asciiTheme="minorEastAsia" w:hAnsiTheme="minorEastAsia" w:eastAsiaTheme="minorEastAsia"/>
          <w:color w:val="auto"/>
          <w:spacing w:val="6"/>
          <w:szCs w:val="21"/>
          <w:highlight w:val="none"/>
        </w:rPr>
      </w:pPr>
    </w:p>
    <w:p>
      <w:pPr>
        <w:snapToGrid w:val="0"/>
        <w:spacing w:line="600" w:lineRule="auto"/>
        <w:ind w:firstLine="504"/>
        <w:jc w:val="right"/>
        <w:rPr>
          <w:rFonts w:asciiTheme="minorEastAsia" w:hAnsiTheme="minorEastAsia" w:eastAsiaTheme="minorEastAsia"/>
          <w:color w:val="auto"/>
          <w:spacing w:val="6"/>
          <w:szCs w:val="21"/>
          <w:highlight w:val="none"/>
        </w:rPr>
      </w:pPr>
    </w:p>
    <w:p>
      <w:pPr>
        <w:adjustRightInd w:val="0"/>
        <w:snapToGrid w:val="0"/>
        <w:spacing w:line="600" w:lineRule="auto"/>
        <w:ind w:firstLine="480"/>
        <w:jc w:val="right"/>
        <w:rPr>
          <w:rFonts w:asciiTheme="minorEastAsia" w:hAnsiTheme="minorEastAsia" w:eastAsiaTheme="minorEastAsia"/>
          <w:color w:val="auto"/>
          <w:kern w:val="0"/>
          <w:szCs w:val="21"/>
          <w:highlight w:val="none"/>
          <w:u w:val="single"/>
        </w:rPr>
      </w:pPr>
      <w:r>
        <w:rPr>
          <w:rFonts w:asciiTheme="minorEastAsia" w:hAnsiTheme="minorEastAsia" w:eastAsiaTheme="minorEastAsia"/>
          <w:color w:val="auto"/>
          <w:kern w:val="0"/>
          <w:szCs w:val="21"/>
          <w:highlight w:val="none"/>
        </w:rPr>
        <w:t>投标人名称（盖章）：</w:t>
      </w:r>
    </w:p>
    <w:p>
      <w:pPr>
        <w:pStyle w:val="94"/>
        <w:spacing w:line="600" w:lineRule="auto"/>
        <w:ind w:firstLine="420"/>
        <w:jc w:val="right"/>
        <w:rPr>
          <w:color w:val="auto"/>
          <w:szCs w:val="21"/>
          <w:highlight w:val="none"/>
        </w:rPr>
        <w:sectPr>
          <w:pgSz w:w="11906" w:h="16838"/>
          <w:pgMar w:top="907" w:right="1134" w:bottom="907" w:left="1134" w:header="851" w:footer="992" w:gutter="0"/>
          <w:cols w:space="720" w:num="1"/>
          <w:docGrid w:type="lines" w:linePitch="312" w:charSpace="0"/>
        </w:sectPr>
      </w:pPr>
      <w:r>
        <w:rPr>
          <w:rFonts w:asciiTheme="minorEastAsia" w:hAnsiTheme="minorEastAsia"/>
          <w:color w:val="auto"/>
          <w:sz w:val="21"/>
          <w:szCs w:val="21"/>
          <w:highlight w:val="none"/>
        </w:rPr>
        <w:t>日期：20</w:t>
      </w:r>
      <w:r>
        <w:rPr>
          <w:rFonts w:hint="eastAsia" w:asciiTheme="minorEastAsia" w:hAnsiTheme="minorEastAsia"/>
          <w:color w:val="auto"/>
          <w:sz w:val="21"/>
          <w:szCs w:val="21"/>
          <w:highlight w:val="none"/>
        </w:rPr>
        <w:t>23年月日</w:t>
      </w:r>
    </w:p>
    <w:p>
      <w:pPr>
        <w:rPr>
          <w:rFonts w:asciiTheme="minorEastAsia" w:hAnsiTheme="minorEastAsia" w:eastAsiaTheme="minorEastAsia"/>
          <w:color w:val="auto"/>
          <w:kern w:val="0"/>
          <w:szCs w:val="21"/>
          <w:highlight w:val="none"/>
        </w:rPr>
      </w:pPr>
    </w:p>
    <w:p>
      <w:pPr>
        <w:pStyle w:val="94"/>
        <w:ind w:firstLine="643"/>
        <w:jc w:val="center"/>
        <w:rPr>
          <w:rFonts w:asciiTheme="minorEastAsia" w:hAnsiTheme="minorEastAsia"/>
          <w:color w:val="auto"/>
          <w:sz w:val="32"/>
          <w:szCs w:val="32"/>
          <w:highlight w:val="none"/>
        </w:rPr>
      </w:pPr>
      <w:r>
        <w:rPr>
          <w:rFonts w:hint="eastAsia" w:asciiTheme="minorEastAsia" w:hAnsiTheme="minorEastAsia"/>
          <w:b/>
          <w:color w:val="auto"/>
          <w:sz w:val="32"/>
          <w:szCs w:val="32"/>
          <w:highlight w:val="none"/>
        </w:rPr>
        <w:t>五、财务状况报告的相关材料或承诺函</w:t>
      </w: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left="0" w:leftChars="0" w:firstLine="0" w:firstLineChars="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firstLine="440"/>
        <w:rPr>
          <w:rFonts w:asciiTheme="minorEastAsia" w:hAnsiTheme="minorEastAsia"/>
          <w:color w:val="auto"/>
          <w:highlight w:val="none"/>
        </w:rPr>
      </w:pPr>
    </w:p>
    <w:p>
      <w:pPr>
        <w:pStyle w:val="94"/>
        <w:ind w:left="0" w:leftChars="0" w:firstLine="630" w:firstLineChars="196"/>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六、具有履行合同所必需的场地、设备和专业技术能力的承诺函；</w:t>
      </w:r>
    </w:p>
    <w:p>
      <w:pPr>
        <w:pStyle w:val="94"/>
        <w:ind w:firstLine="440"/>
        <w:rPr>
          <w:rFonts w:asciiTheme="minorEastAsia" w:hAnsiTheme="minorEastAsia"/>
          <w:color w:val="auto"/>
          <w:highlight w:val="none"/>
        </w:rPr>
      </w:pPr>
    </w:p>
    <w:p>
      <w:pPr>
        <w:pStyle w:val="94"/>
        <w:ind w:left="0" w:leftChars="0" w:firstLine="0" w:firstLineChars="0"/>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562"/>
        <w:jc w:val="left"/>
        <w:rPr>
          <w:rFonts w:asciiTheme="minorEastAsia" w:hAnsiTheme="minorEastAsia"/>
          <w:b/>
          <w:color w:val="auto"/>
          <w:sz w:val="28"/>
          <w:highlight w:val="none"/>
        </w:rPr>
      </w:pPr>
    </w:p>
    <w:p>
      <w:pPr>
        <w:pStyle w:val="94"/>
        <w:ind w:firstLine="643"/>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七、依法缴纳税收和社会保障资金的相关材料证明或承诺函</w:t>
      </w: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firstLine="643"/>
        <w:rPr>
          <w:rFonts w:asciiTheme="minorEastAsia" w:hAnsiTheme="minorEastAsia"/>
          <w:b/>
          <w:color w:val="auto"/>
          <w:sz w:val="32"/>
          <w:szCs w:val="32"/>
          <w:highlight w:val="none"/>
        </w:rPr>
      </w:pPr>
    </w:p>
    <w:p>
      <w:pPr>
        <w:pStyle w:val="94"/>
        <w:ind w:left="0" w:leftChars="0" w:firstLine="0" w:firstLineChars="0"/>
        <w:jc w:val="center"/>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八、投标供应商没有失信记录承诺函</w:t>
      </w:r>
    </w:p>
    <w:p>
      <w:pPr>
        <w:pStyle w:val="94"/>
        <w:spacing w:line="480" w:lineRule="auto"/>
        <w:ind w:firstLine="420"/>
        <w:rPr>
          <w:rFonts w:asciiTheme="minorEastAsia" w:hAnsiTheme="minorEastAsia"/>
          <w:color w:val="auto"/>
          <w:sz w:val="21"/>
          <w:szCs w:val="21"/>
          <w:highlight w:val="none"/>
          <w:u w:val="single"/>
        </w:rPr>
      </w:pPr>
      <w:r>
        <w:rPr>
          <w:rFonts w:hint="eastAsia" w:asciiTheme="minorEastAsia" w:hAnsiTheme="minorEastAsia"/>
          <w:color w:val="auto"/>
          <w:sz w:val="21"/>
          <w:szCs w:val="21"/>
          <w:highlight w:val="none"/>
          <w:u w:val="single"/>
        </w:rPr>
        <w:t xml:space="preserve">   （采购人名称）   ： </w:t>
      </w:r>
    </w:p>
    <w:p>
      <w:pPr>
        <w:pStyle w:val="94"/>
        <w:spacing w:line="480" w:lineRule="auto"/>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我公司郑重承诺：到本项目投标截止时间为止，我公司未被“信用中国”（www.creditchina.gov.cn）、中国政府采购网（www.ccgp.gov.cn）列入失信被执行人名单、重大税收违法失信主体、政府采购严重违法失信行为记录名单。如有隐瞒，愿承担一切责任。</w:t>
      </w:r>
    </w:p>
    <w:p>
      <w:pPr>
        <w:pStyle w:val="94"/>
        <w:spacing w:line="480" w:lineRule="auto"/>
        <w:ind w:firstLine="420"/>
        <w:rPr>
          <w:rFonts w:asciiTheme="minorEastAsia" w:hAnsiTheme="minorEastAsia"/>
          <w:color w:val="auto"/>
          <w:sz w:val="21"/>
          <w:szCs w:val="21"/>
          <w:highlight w:val="none"/>
        </w:rPr>
      </w:pPr>
    </w:p>
    <w:p>
      <w:pPr>
        <w:pStyle w:val="94"/>
        <w:spacing w:line="480" w:lineRule="auto"/>
        <w:ind w:firstLine="42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特此承诺！</w:t>
      </w:r>
    </w:p>
    <w:p>
      <w:pPr>
        <w:pStyle w:val="94"/>
        <w:spacing w:line="480" w:lineRule="auto"/>
        <w:ind w:firstLine="420"/>
        <w:rPr>
          <w:rFonts w:asciiTheme="minorEastAsia" w:hAnsiTheme="minorEastAsia"/>
          <w:color w:val="auto"/>
          <w:sz w:val="21"/>
          <w:szCs w:val="21"/>
          <w:highlight w:val="none"/>
        </w:rPr>
      </w:pPr>
    </w:p>
    <w:p>
      <w:pPr>
        <w:tabs>
          <w:tab w:val="left" w:pos="312"/>
        </w:tabs>
        <w:spacing w:line="480" w:lineRule="auto"/>
        <w:ind w:firstLine="420" w:firstLineChars="200"/>
        <w:jc w:val="righ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投标人名称（盖公章）：</w:t>
      </w:r>
    </w:p>
    <w:p>
      <w:pPr>
        <w:spacing w:line="480" w:lineRule="auto"/>
        <w:ind w:firstLine="371" w:firstLineChars="177"/>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480" w:lineRule="auto"/>
        <w:ind w:firstLine="435"/>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日期：  年    月   日</w:t>
      </w:r>
    </w:p>
    <w:p>
      <w:pPr>
        <w:pageBreakBefore/>
        <w:spacing w:line="360" w:lineRule="auto"/>
        <w:ind w:right="-108"/>
        <w:jc w:val="center"/>
        <w:outlineLvl w:val="0"/>
        <w:rPr>
          <w:rFonts w:asciiTheme="minorEastAsia" w:hAnsiTheme="minorEastAsia" w:eastAsiaTheme="minorEastAsia"/>
          <w:color w:val="auto"/>
          <w:spacing w:val="40"/>
          <w:sz w:val="52"/>
          <w:szCs w:val="52"/>
          <w:highlight w:val="none"/>
        </w:rPr>
      </w:pPr>
      <w:bookmarkStart w:id="95" w:name="_Toc18892"/>
      <w:bookmarkStart w:id="96" w:name="_Toc28397"/>
      <w:bookmarkStart w:id="97" w:name="_Toc28068"/>
      <w:bookmarkStart w:id="98" w:name="_Toc2003"/>
      <w:bookmarkStart w:id="99" w:name="_Toc7488"/>
      <w:bookmarkStart w:id="100" w:name="_Toc17529"/>
      <w:bookmarkStart w:id="101" w:name="_Toc6727"/>
      <w:r>
        <w:rPr>
          <w:rFonts w:hint="eastAsia" w:asciiTheme="minorEastAsia" w:hAnsiTheme="minorEastAsia" w:eastAsiaTheme="minorEastAsia"/>
          <w:color w:val="auto"/>
          <w:spacing w:val="40"/>
          <w:sz w:val="52"/>
          <w:szCs w:val="52"/>
          <w:highlight w:val="none"/>
        </w:rPr>
        <w:t>项目名称</w:t>
      </w:r>
      <w:bookmarkEnd w:id="95"/>
      <w:bookmarkEnd w:id="96"/>
      <w:bookmarkEnd w:id="97"/>
      <w:bookmarkEnd w:id="98"/>
      <w:bookmarkEnd w:id="99"/>
      <w:bookmarkEnd w:id="100"/>
      <w:bookmarkEnd w:id="101"/>
    </w:p>
    <w:p>
      <w:pPr>
        <w:spacing w:beforeLines="100" w:line="360" w:lineRule="auto"/>
        <w:ind w:right="-108"/>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 xml:space="preserve">项目编号：    </w:t>
      </w:r>
    </w:p>
    <w:p>
      <w:pPr>
        <w:spacing w:after="100" w:afterAutospacing="1" w:line="360" w:lineRule="auto"/>
        <w:ind w:right="-108"/>
        <w:jc w:val="center"/>
        <w:rPr>
          <w:rFonts w:asciiTheme="minorEastAsia" w:hAnsiTheme="minorEastAsia" w:eastAsiaTheme="minorEastAsia"/>
          <w:b/>
          <w:color w:val="auto"/>
          <w:spacing w:val="40"/>
          <w:sz w:val="84"/>
          <w:szCs w:val="84"/>
          <w:highlight w:val="none"/>
        </w:rPr>
      </w:pPr>
      <w:r>
        <w:rPr>
          <w:rFonts w:hint="eastAsia" w:asciiTheme="minorEastAsia" w:hAnsiTheme="minorEastAsia" w:eastAsiaTheme="minorEastAsia"/>
          <w:b/>
          <w:color w:val="auto"/>
          <w:spacing w:val="40"/>
          <w:sz w:val="84"/>
          <w:szCs w:val="84"/>
          <w:highlight w:val="none"/>
        </w:rPr>
        <w:t>报</w:t>
      </w:r>
    </w:p>
    <w:p>
      <w:pPr>
        <w:spacing w:after="100" w:afterAutospacing="1" w:line="360" w:lineRule="auto"/>
        <w:ind w:right="-108"/>
        <w:jc w:val="center"/>
        <w:rPr>
          <w:rFonts w:asciiTheme="minorEastAsia" w:hAnsiTheme="minorEastAsia" w:eastAsiaTheme="minorEastAsia"/>
          <w:b/>
          <w:color w:val="auto"/>
          <w:spacing w:val="40"/>
          <w:sz w:val="84"/>
          <w:szCs w:val="84"/>
          <w:highlight w:val="none"/>
        </w:rPr>
      </w:pPr>
      <w:r>
        <w:rPr>
          <w:rFonts w:hint="eastAsia" w:asciiTheme="minorEastAsia" w:hAnsiTheme="minorEastAsia" w:eastAsiaTheme="minorEastAsia"/>
          <w:b/>
          <w:color w:val="auto"/>
          <w:spacing w:val="40"/>
          <w:sz w:val="84"/>
          <w:szCs w:val="84"/>
          <w:highlight w:val="none"/>
        </w:rPr>
        <w:t>价</w:t>
      </w:r>
    </w:p>
    <w:p>
      <w:pPr>
        <w:spacing w:after="100" w:afterAutospacing="1" w:line="360" w:lineRule="auto"/>
        <w:ind w:right="-108"/>
        <w:jc w:val="center"/>
        <w:rPr>
          <w:rFonts w:asciiTheme="minorEastAsia" w:hAnsiTheme="minorEastAsia" w:eastAsiaTheme="minorEastAsia"/>
          <w:b/>
          <w:color w:val="auto"/>
          <w:spacing w:val="40"/>
          <w:sz w:val="84"/>
          <w:szCs w:val="84"/>
          <w:highlight w:val="none"/>
        </w:rPr>
      </w:pPr>
      <w:r>
        <w:rPr>
          <w:rFonts w:hint="eastAsia" w:asciiTheme="minorEastAsia" w:hAnsiTheme="minorEastAsia" w:eastAsiaTheme="minorEastAsia"/>
          <w:b/>
          <w:color w:val="auto"/>
          <w:spacing w:val="40"/>
          <w:sz w:val="84"/>
          <w:szCs w:val="84"/>
          <w:highlight w:val="none"/>
        </w:rPr>
        <w:t>文</w:t>
      </w:r>
    </w:p>
    <w:p>
      <w:pPr>
        <w:spacing w:after="100" w:afterAutospacing="1" w:line="360" w:lineRule="auto"/>
        <w:ind w:right="-108"/>
        <w:jc w:val="center"/>
        <w:rPr>
          <w:rFonts w:asciiTheme="minorEastAsia" w:hAnsiTheme="minorEastAsia" w:eastAsiaTheme="minorEastAsia"/>
          <w:b/>
          <w:color w:val="auto"/>
          <w:spacing w:val="40"/>
          <w:sz w:val="84"/>
          <w:szCs w:val="84"/>
          <w:highlight w:val="none"/>
        </w:rPr>
      </w:pPr>
      <w:r>
        <w:rPr>
          <w:rFonts w:hint="eastAsia" w:asciiTheme="minorEastAsia" w:hAnsiTheme="minorEastAsia" w:eastAsiaTheme="minorEastAsia"/>
          <w:b/>
          <w:color w:val="auto"/>
          <w:spacing w:val="40"/>
          <w:sz w:val="84"/>
          <w:szCs w:val="84"/>
          <w:highlight w:val="none"/>
        </w:rPr>
        <w:t>件</w:t>
      </w:r>
    </w:p>
    <w:p>
      <w:pPr>
        <w:spacing w:line="360" w:lineRule="auto"/>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（报价文件）</w:t>
      </w:r>
    </w:p>
    <w:p>
      <w:pPr>
        <w:spacing w:line="360" w:lineRule="auto"/>
        <w:ind w:right="532"/>
        <w:rPr>
          <w:rFonts w:asciiTheme="minorEastAsia" w:hAnsiTheme="minorEastAsia" w:eastAsiaTheme="minorEastAsia"/>
          <w:color w:val="auto"/>
          <w:sz w:val="36"/>
          <w:szCs w:val="36"/>
          <w:highlight w:val="none"/>
        </w:rPr>
      </w:pPr>
    </w:p>
    <w:p>
      <w:pPr>
        <w:spacing w:line="360" w:lineRule="auto"/>
        <w:ind w:right="532"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投标人名称（公章）：</w:t>
      </w:r>
    </w:p>
    <w:p>
      <w:pPr>
        <w:spacing w:line="360" w:lineRule="auto"/>
        <w:ind w:right="-108"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投标人地址：</w:t>
      </w:r>
    </w:p>
    <w:p>
      <w:pPr>
        <w:spacing w:line="360" w:lineRule="auto"/>
        <w:ind w:right="-108"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时    间：</w:t>
      </w: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shd w:val="clear" w:color="auto" w:fill="FFFFFF"/>
        <w:snapToGrid w:val="0"/>
        <w:spacing w:line="360" w:lineRule="auto"/>
        <w:jc w:val="center"/>
        <w:outlineLvl w:val="1"/>
        <w:rPr>
          <w:rFonts w:cs="宋体" w:asciiTheme="minorEastAsia" w:hAnsiTheme="minorEastAsia" w:eastAsiaTheme="minorEastAsia"/>
          <w:b/>
          <w:bCs/>
          <w:color w:val="auto"/>
          <w:kern w:val="0"/>
          <w:sz w:val="32"/>
          <w:szCs w:val="32"/>
          <w:highlight w:val="none"/>
        </w:rPr>
      </w:pPr>
    </w:p>
    <w:p>
      <w:pPr>
        <w:spacing w:line="360" w:lineRule="auto"/>
        <w:jc w:val="center"/>
        <w:rPr>
          <w:rFonts w:asciiTheme="minorEastAsia" w:hAnsiTheme="minorEastAsia" w:eastAsiaTheme="minorEastAsia"/>
          <w:b/>
          <w:color w:val="auto"/>
          <w:sz w:val="44"/>
          <w:szCs w:val="44"/>
          <w:highlight w:val="none"/>
        </w:rPr>
        <w:sectPr>
          <w:footerReference r:id="rId7" w:type="default"/>
          <w:pgSz w:w="11906" w:h="16838"/>
          <w:pgMar w:top="907" w:right="1134" w:bottom="907" w:left="1134" w:header="851" w:footer="992" w:gutter="0"/>
          <w:cols w:space="720" w:num="1"/>
          <w:docGrid w:type="lines" w:linePitch="312" w:charSpace="0"/>
        </w:sectPr>
      </w:pPr>
    </w:p>
    <w:p>
      <w:pPr>
        <w:pageBreakBefore/>
        <w:spacing w:line="360" w:lineRule="auto"/>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报价文件</w:t>
      </w:r>
    </w:p>
    <w:p>
      <w:pPr>
        <w:spacing w:line="360" w:lineRule="auto"/>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目录</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投标函</w:t>
      </w:r>
      <w:r>
        <w:rPr>
          <w:rFonts w:asciiTheme="minorEastAsia" w:hAnsiTheme="minorEastAsia" w:eastAsia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开标一览表…………………………………………………………………………（页码）</w:t>
      </w:r>
    </w:p>
    <w:p>
      <w:pPr>
        <w:pStyle w:val="94"/>
        <w:spacing w:line="480" w:lineRule="auto"/>
        <w:ind w:left="0" w:leftChars="0" w:firstLine="0" w:firstLineChars="0"/>
        <w:jc w:val="left"/>
        <w:rPr>
          <w:rFonts w:asciiTheme="minorEastAsia" w:hAnsiTheme="minorEastAsia"/>
          <w:color w:val="auto"/>
          <w:sz w:val="24"/>
          <w:highlight w:val="none"/>
        </w:rPr>
      </w:pPr>
      <w:r>
        <w:rPr>
          <w:rFonts w:hint="eastAsia" w:cs="宋体" w:asciiTheme="minorEastAsia" w:hAnsiTheme="minorEastAsia"/>
          <w:color w:val="auto"/>
          <w:sz w:val="24"/>
          <w:szCs w:val="24"/>
          <w:highlight w:val="none"/>
        </w:rPr>
        <w:t>3、报价明细表</w:t>
      </w:r>
      <w:r>
        <w:rPr>
          <w:rFonts w:asciiTheme="minorEastAsia" w:hAnsi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asciiTheme="minorEastAsia" w:hAnsiTheme="minorEastAsia"/>
          <w:color w:val="auto"/>
          <w:sz w:val="24"/>
          <w:highlight w:val="none"/>
        </w:rPr>
        <w:t>………</w:t>
      </w:r>
      <w:r>
        <w:rPr>
          <w:rFonts w:asciiTheme="minorEastAsia" w:hAnsiTheme="minorEastAsia" w:eastAsiaTheme="minorEastAsia"/>
          <w:color w:val="auto"/>
          <w:sz w:val="24"/>
          <w:highlight w:val="none"/>
        </w:rPr>
        <w:t>( 目录自行扩展)</w:t>
      </w:r>
    </w:p>
    <w:p>
      <w:pPr>
        <w:pStyle w:val="94"/>
        <w:spacing w:line="480" w:lineRule="auto"/>
        <w:ind w:left="0" w:leftChars="0" w:firstLine="0" w:firstLineChars="0"/>
        <w:jc w:val="left"/>
        <w:rPr>
          <w:rFonts w:cs="宋体" w:asciiTheme="minorEastAsia" w:hAnsiTheme="minorEastAsia"/>
          <w:color w:val="auto"/>
          <w:sz w:val="24"/>
          <w:szCs w:val="24"/>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spacing w:line="360" w:lineRule="auto"/>
        <w:jc w:val="center"/>
        <w:rPr>
          <w:rFonts w:cs="宋体" w:asciiTheme="minorEastAsia" w:hAnsiTheme="minorEastAsia" w:eastAsiaTheme="minorEastAsia"/>
          <w:b/>
          <w:bCs/>
          <w:color w:val="auto"/>
          <w:kern w:val="0"/>
          <w:sz w:val="32"/>
          <w:szCs w:val="32"/>
          <w:highlight w:val="none"/>
        </w:rPr>
        <w:sectPr>
          <w:pgSz w:w="11906" w:h="16838"/>
          <w:pgMar w:top="907" w:right="1134" w:bottom="907" w:left="1134" w:header="851" w:footer="992" w:gutter="0"/>
          <w:cols w:space="720" w:num="1"/>
          <w:docGrid w:type="lines" w:linePitch="312" w:charSpace="0"/>
        </w:sectPr>
      </w:pPr>
    </w:p>
    <w:p>
      <w:pPr>
        <w:pageBreakBefore/>
        <w:spacing w:line="360" w:lineRule="auto"/>
        <w:jc w:val="center"/>
        <w:rPr>
          <w:rFonts w:asciiTheme="minorEastAsia" w:hAnsiTheme="minorEastAsia" w:eastAsiaTheme="minorEastAsia"/>
          <w:b/>
          <w:color w:val="auto"/>
          <w:sz w:val="32"/>
          <w:szCs w:val="32"/>
          <w:highlight w:val="none"/>
        </w:rPr>
      </w:pPr>
      <w:r>
        <w:rPr>
          <w:rFonts w:hint="eastAsia" w:cs="宋体" w:asciiTheme="minorEastAsia" w:hAnsiTheme="minorEastAsia" w:eastAsiaTheme="minorEastAsia"/>
          <w:b/>
          <w:bCs/>
          <w:color w:val="auto"/>
          <w:kern w:val="0"/>
          <w:sz w:val="32"/>
          <w:szCs w:val="32"/>
          <w:highlight w:val="none"/>
        </w:rPr>
        <w:t>一、投标函</w:t>
      </w:r>
    </w:p>
    <w:p>
      <w:pPr>
        <w:pStyle w:val="3"/>
        <w:spacing w:line="500" w:lineRule="exact"/>
        <w:ind w:left="-284" w:firstLine="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致：</w:t>
      </w:r>
      <w:r>
        <w:rPr>
          <w:rFonts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u w:val="single"/>
        </w:rPr>
        <w:t>采购人</w:t>
      </w:r>
      <w:r>
        <w:rPr>
          <w:rFonts w:asciiTheme="minorEastAsia" w:hAnsiTheme="minorEastAsia" w:eastAsiaTheme="minorEastAsia"/>
          <w:color w:val="auto"/>
          <w:sz w:val="21"/>
          <w:szCs w:val="21"/>
          <w:highlight w:val="none"/>
          <w:u w:val="single"/>
        </w:rPr>
        <w:t xml:space="preserve">）  </w:t>
      </w:r>
    </w:p>
    <w:p>
      <w:pPr>
        <w:pStyle w:val="3"/>
        <w:spacing w:line="500" w:lineRule="exact"/>
        <w:ind w:firstLine="490"/>
        <w:rPr>
          <w:rFonts w:asciiTheme="minorEastAsia" w:hAnsiTheme="minorEastAsia" w:eastAsiaTheme="minorEastAsia"/>
          <w:color w:val="auto"/>
          <w:sz w:val="21"/>
          <w:szCs w:val="21"/>
          <w:highlight w:val="none"/>
          <w:u w:val="single"/>
        </w:rPr>
      </w:pPr>
      <w:r>
        <w:rPr>
          <w:rFonts w:asciiTheme="minorEastAsia" w:hAnsiTheme="minorEastAsia" w:eastAsiaTheme="minorEastAsia"/>
          <w:color w:val="auto"/>
          <w:sz w:val="21"/>
          <w:szCs w:val="21"/>
          <w:highlight w:val="none"/>
          <w:u w:val="single"/>
        </w:rPr>
        <w:t xml:space="preserve">   （供应商全称）       </w:t>
      </w:r>
      <w:r>
        <w:rPr>
          <w:rFonts w:asciiTheme="minorEastAsia" w:hAnsiTheme="minorEastAsia" w:eastAsiaTheme="minorEastAsia"/>
          <w:color w:val="auto"/>
          <w:sz w:val="21"/>
          <w:szCs w:val="21"/>
          <w:highlight w:val="none"/>
        </w:rPr>
        <w:t>授权</w:t>
      </w:r>
      <w:r>
        <w:rPr>
          <w:rFonts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u w:val="single"/>
        </w:rPr>
        <w:t>被授权人</w:t>
      </w:r>
      <w:r>
        <w:rPr>
          <w:rFonts w:asciiTheme="minorEastAsia" w:hAnsiTheme="minorEastAsia" w:eastAsiaTheme="minorEastAsia"/>
          <w:color w:val="auto"/>
          <w:sz w:val="21"/>
          <w:szCs w:val="21"/>
          <w:highlight w:val="none"/>
          <w:u w:val="single"/>
        </w:rPr>
        <w:t xml:space="preserve">姓名、职务）   </w:t>
      </w:r>
      <w:r>
        <w:rPr>
          <w:rFonts w:asciiTheme="minorEastAsia" w:hAnsiTheme="minorEastAsia" w:eastAsiaTheme="minorEastAsia"/>
          <w:color w:val="auto"/>
          <w:sz w:val="21"/>
          <w:szCs w:val="21"/>
          <w:highlight w:val="none"/>
        </w:rPr>
        <w:t>为本公司合法代理人，参加贵方组织的</w:t>
      </w:r>
      <w:r>
        <w:rPr>
          <w:rFonts w:asciiTheme="minorEastAsia" w:hAnsiTheme="minorEastAsia" w:eastAsiaTheme="minorEastAsia"/>
          <w:color w:val="auto"/>
          <w:sz w:val="21"/>
          <w:szCs w:val="21"/>
          <w:highlight w:val="none"/>
          <w:u w:val="single"/>
        </w:rPr>
        <w:t xml:space="preserve">   （项目编号、项目名称）  </w:t>
      </w:r>
      <w:r>
        <w:rPr>
          <w:rFonts w:asciiTheme="minorEastAsia" w:hAnsiTheme="minorEastAsia" w:eastAsiaTheme="minorEastAsia"/>
          <w:color w:val="auto"/>
          <w:sz w:val="21"/>
          <w:szCs w:val="21"/>
          <w:highlight w:val="none"/>
        </w:rPr>
        <w:t>招投标活动，代表本公司处理招投标活动中的一切事宜。在此：</w:t>
      </w:r>
    </w:p>
    <w:p>
      <w:pPr>
        <w:pStyle w:val="3"/>
        <w:tabs>
          <w:tab w:val="left" w:pos="426"/>
        </w:tabs>
        <w:spacing w:line="500" w:lineRule="exact"/>
        <w:ind w:firstLine="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1、提供采购文件中“投标须知”规定的全部投标文件资料</w:t>
      </w:r>
      <w:r>
        <w:rPr>
          <w:rFonts w:hint="eastAsia" w:asciiTheme="minorEastAsia" w:hAnsiTheme="minorEastAsia" w:eastAsiaTheme="minorEastAsia"/>
          <w:color w:val="auto"/>
          <w:sz w:val="21"/>
          <w:szCs w:val="21"/>
          <w:highlight w:val="none"/>
        </w:rPr>
        <w:t>。</w:t>
      </w:r>
    </w:p>
    <w:p>
      <w:pPr>
        <w:pStyle w:val="3"/>
        <w:tabs>
          <w:tab w:val="left" w:pos="426"/>
        </w:tabs>
        <w:spacing w:line="500" w:lineRule="exact"/>
        <w:ind w:firstLine="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w:t>
      </w:r>
      <w:r>
        <w:rPr>
          <w:rFonts w:asciiTheme="minorEastAsia" w:hAnsiTheme="minorEastAsia" w:eastAsiaTheme="minorEastAsia"/>
          <w:color w:val="auto"/>
          <w:sz w:val="21"/>
          <w:szCs w:val="21"/>
          <w:highlight w:val="none"/>
        </w:rPr>
        <w:t>、据此函，签字代表宣布并承诺如下：</w:t>
      </w:r>
    </w:p>
    <w:p>
      <w:pPr>
        <w:pStyle w:val="3"/>
        <w:spacing w:line="500" w:lineRule="exact"/>
        <w:ind w:firstLine="210" w:firstLine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3"/>
        <w:spacing w:line="500" w:lineRule="exact"/>
        <w:ind w:firstLine="210" w:firstLine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（2）本投标自开标之日起</w:t>
      </w:r>
      <w:r>
        <w:rPr>
          <w:rFonts w:hint="eastAsia" w:asciiTheme="minorEastAsia" w:hAnsiTheme="minorEastAsia" w:eastAsiaTheme="minorEastAsia"/>
          <w:color w:val="auto"/>
          <w:sz w:val="21"/>
          <w:szCs w:val="21"/>
          <w:highlight w:val="none"/>
          <w:u w:val="single"/>
        </w:rPr>
        <w:t>90天</w:t>
      </w:r>
      <w:r>
        <w:rPr>
          <w:rFonts w:asciiTheme="minorEastAsia" w:hAnsiTheme="minorEastAsia" w:eastAsiaTheme="minorEastAsia"/>
          <w:color w:val="auto"/>
          <w:sz w:val="21"/>
          <w:szCs w:val="21"/>
          <w:highlight w:val="none"/>
        </w:rPr>
        <w:t>内有效。</w:t>
      </w:r>
    </w:p>
    <w:p>
      <w:pPr>
        <w:pStyle w:val="3"/>
        <w:spacing w:line="500" w:lineRule="exact"/>
        <w:ind w:firstLine="210" w:firstLine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（3）保证遵守采购文件有关条款规定。</w:t>
      </w:r>
    </w:p>
    <w:p>
      <w:pPr>
        <w:pStyle w:val="3"/>
        <w:spacing w:line="500" w:lineRule="exact"/>
        <w:ind w:firstLine="210" w:firstLine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（4）保证在中标后忠实地执行与采购人所签署的合同，并承担合同规定的责任义务。保证在中标后按照采购文件的规定支付招标代理服务费。</w:t>
      </w:r>
    </w:p>
    <w:p>
      <w:pPr>
        <w:pStyle w:val="3"/>
        <w:spacing w:line="500" w:lineRule="exact"/>
        <w:ind w:firstLine="210" w:firstLine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（5）承诺应贵方要求提供任何与该项目投标有关的数据、情况和技术资料。</w:t>
      </w:r>
    </w:p>
    <w:p>
      <w:pPr>
        <w:pStyle w:val="3"/>
        <w:tabs>
          <w:tab w:val="left" w:pos="426"/>
        </w:tabs>
        <w:spacing w:line="500" w:lineRule="exact"/>
        <w:ind w:firstLine="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w:t>
      </w:r>
      <w:r>
        <w:rPr>
          <w:rFonts w:asciiTheme="minorEastAsia" w:hAnsiTheme="minorEastAsia" w:eastAsiaTheme="minorEastAsia"/>
          <w:color w:val="auto"/>
          <w:sz w:val="21"/>
          <w:szCs w:val="21"/>
          <w:highlight w:val="none"/>
        </w:rPr>
        <w:t>、我们郑重声明：</w:t>
      </w:r>
    </w:p>
    <w:p>
      <w:pPr>
        <w:pStyle w:val="3"/>
        <w:tabs>
          <w:tab w:val="left" w:pos="426"/>
        </w:tabs>
        <w:spacing w:line="500" w:lineRule="exact"/>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我公司符合政府采购法规定的参加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pStyle w:val="3"/>
        <w:tabs>
          <w:tab w:val="left" w:pos="426"/>
        </w:tabs>
        <w:spacing w:line="500" w:lineRule="exact"/>
        <w:ind w:firstLine="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asciiTheme="minorEastAsia" w:hAnsiTheme="minorEastAsia" w:eastAsiaTheme="minorEastAsia"/>
          <w:color w:val="auto"/>
          <w:sz w:val="21"/>
          <w:szCs w:val="21"/>
          <w:highlight w:val="none"/>
        </w:rPr>
        <w:t>、与本投标有关的一切往来通讯请寄：</w:t>
      </w:r>
    </w:p>
    <w:p>
      <w:pPr>
        <w:pStyle w:val="3"/>
        <w:spacing w:line="500" w:lineRule="exact"/>
        <w:ind w:left="480" w:firstLine="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地址：</w:t>
      </w:r>
    </w:p>
    <w:p>
      <w:pPr>
        <w:pStyle w:val="3"/>
        <w:spacing w:line="500" w:lineRule="exact"/>
        <w:ind w:left="480" w:firstLine="0"/>
        <w:rPr>
          <w:rFonts w:asciiTheme="minorEastAsia" w:hAnsiTheme="minorEastAsia" w:eastAsiaTheme="minorEastAsia"/>
          <w:color w:val="auto"/>
          <w:sz w:val="21"/>
          <w:szCs w:val="21"/>
          <w:highlight w:val="none"/>
          <w:u w:val="single"/>
        </w:rPr>
      </w:pPr>
      <w:r>
        <w:rPr>
          <w:rFonts w:asciiTheme="minorEastAsia" w:hAnsiTheme="minorEastAsia" w:eastAsiaTheme="minorEastAsia"/>
          <w:color w:val="auto"/>
          <w:sz w:val="21"/>
          <w:szCs w:val="21"/>
          <w:highlight w:val="none"/>
        </w:rPr>
        <w:t>邮编：电话：传真：</w:t>
      </w:r>
    </w:p>
    <w:p>
      <w:pPr>
        <w:pStyle w:val="3"/>
        <w:tabs>
          <w:tab w:val="left" w:pos="5340"/>
        </w:tabs>
        <w:spacing w:before="100" w:beforeAutospacing="1" w:after="100" w:afterAutospacing="1" w:line="500" w:lineRule="exact"/>
        <w:ind w:firstLine="0"/>
        <w:jc w:val="righ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         投标人名称（盖公章）：</w:t>
      </w:r>
      <w:r>
        <w:rPr>
          <w:rFonts w:asciiTheme="minorEastAsia" w:hAnsiTheme="minorEastAsia" w:eastAsiaTheme="minorEastAsia"/>
          <w:color w:val="auto"/>
          <w:sz w:val="21"/>
          <w:szCs w:val="21"/>
          <w:highlight w:val="none"/>
        </w:rPr>
        <w:tab/>
      </w:r>
    </w:p>
    <w:p>
      <w:pPr>
        <w:spacing w:line="500" w:lineRule="exact"/>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500" w:lineRule="exact"/>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ab/>
      </w:r>
    </w:p>
    <w:p>
      <w:pPr>
        <w:spacing w:line="500" w:lineRule="exact"/>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日期：年   月</w:t>
      </w:r>
      <w:r>
        <w:rPr>
          <w:rFonts w:hint="eastAsia" w:asciiTheme="minorEastAsia" w:hAnsiTheme="minorEastAsia" w:eastAsiaTheme="minorEastAsia"/>
          <w:color w:val="auto"/>
          <w:szCs w:val="21"/>
          <w:highlight w:val="none"/>
        </w:rPr>
        <w:t xml:space="preserve">  日</w:t>
      </w:r>
    </w:p>
    <w:p>
      <w:pPr>
        <w:pStyle w:val="21"/>
        <w:jc w:val="right"/>
        <w:rPr>
          <w:rFonts w:asciiTheme="minorEastAsia" w:hAnsiTheme="minorEastAsia" w:eastAsiaTheme="minorEastAsia"/>
          <w:color w:val="auto"/>
          <w:highlight w:val="none"/>
        </w:rPr>
      </w:pPr>
    </w:p>
    <w:p>
      <w:pPr>
        <w:pageBreakBefore/>
        <w:rPr>
          <w:rFonts w:asciiTheme="minorEastAsia" w:hAnsiTheme="minorEastAsia" w:eastAsiaTheme="minorEastAsia"/>
          <w:color w:val="auto"/>
          <w:highlight w:val="none"/>
        </w:rPr>
      </w:pPr>
    </w:p>
    <w:p>
      <w:pPr>
        <w:spacing w:line="360" w:lineRule="auto"/>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二、</w:t>
      </w:r>
      <w:r>
        <w:rPr>
          <w:rFonts w:cs="宋体" w:asciiTheme="minorEastAsia" w:hAnsiTheme="minorEastAsia" w:eastAsiaTheme="minorEastAsia"/>
          <w:b/>
          <w:bCs/>
          <w:color w:val="auto"/>
          <w:kern w:val="0"/>
          <w:sz w:val="32"/>
          <w:szCs w:val="32"/>
          <w:highlight w:val="none"/>
        </w:rPr>
        <w:t>开标一览表</w:t>
      </w:r>
    </w:p>
    <w:p>
      <w:pPr>
        <w:tabs>
          <w:tab w:val="left" w:pos="8280"/>
        </w:tabs>
        <w:autoSpaceDE w:val="0"/>
        <w:autoSpaceDN w:val="0"/>
        <w:adjustRightInd w:val="0"/>
        <w:spacing w:line="3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项目编号：                                             项目名称：</w:t>
      </w:r>
    </w:p>
    <w:tbl>
      <w:tblPr>
        <w:tblStyle w:val="47"/>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46"/>
        <w:gridCol w:w="412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1" w:type="dxa"/>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546" w:type="dxa"/>
            <w:vAlign w:val="center"/>
          </w:tcPr>
          <w:p>
            <w:pPr>
              <w:autoSpaceDE w:val="0"/>
              <w:autoSpaceDN w:val="0"/>
              <w:adjustRightInd w:val="0"/>
              <w:spacing w:line="240" w:lineRule="exact"/>
              <w:ind w:right="25"/>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4125" w:type="dxa"/>
            <w:vAlign w:val="center"/>
          </w:tcPr>
          <w:p>
            <w:pPr>
              <w:autoSpaceDE w:val="0"/>
              <w:autoSpaceDN w:val="0"/>
              <w:adjustRightInd w:val="0"/>
              <w:spacing w:line="240" w:lineRule="exact"/>
              <w:ind w:right="25"/>
              <w:jc w:val="center"/>
              <w:rPr>
                <w:rFonts w:ascii="宋体" w:hAnsi="宋体" w:cs="宋体"/>
                <w:color w:val="auto"/>
                <w:szCs w:val="21"/>
                <w:highlight w:val="none"/>
              </w:rPr>
            </w:pPr>
            <w:r>
              <w:rPr>
                <w:rFonts w:hint="eastAsia" w:ascii="宋体" w:hAnsi="宋体" w:cs="宋体"/>
                <w:color w:val="auto"/>
                <w:szCs w:val="21"/>
                <w:highlight w:val="none"/>
              </w:rPr>
              <w:t>内容</w:t>
            </w:r>
          </w:p>
        </w:tc>
        <w:tc>
          <w:tcPr>
            <w:tcW w:w="1735" w:type="dxa"/>
            <w:vAlign w:val="center"/>
          </w:tcPr>
          <w:p>
            <w:pPr>
              <w:autoSpaceDE w:val="0"/>
              <w:autoSpaceDN w:val="0"/>
              <w:adjustRightInd w:val="0"/>
              <w:spacing w:line="240" w:lineRule="exact"/>
              <w:ind w:right="25"/>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41" w:type="dxa"/>
            <w:vMerge w:val="restart"/>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546" w:type="dxa"/>
            <w:vMerge w:val="restart"/>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4125" w:type="dxa"/>
            <w:vAlign w:val="center"/>
          </w:tcPr>
          <w:p>
            <w:pPr>
              <w:tabs>
                <w:tab w:val="left" w:pos="8280"/>
              </w:tabs>
              <w:autoSpaceDE w:val="0"/>
              <w:autoSpaceDN w:val="0"/>
              <w:adjustRightInd w:val="0"/>
              <w:spacing w:line="300" w:lineRule="exact"/>
              <w:jc w:val="left"/>
              <w:rPr>
                <w:rFonts w:ascii="宋体" w:hAnsi="宋体" w:cs="宋体"/>
                <w:color w:val="auto"/>
                <w:szCs w:val="21"/>
                <w:highlight w:val="none"/>
              </w:rPr>
            </w:pPr>
            <w:r>
              <w:rPr>
                <w:rFonts w:hint="eastAsia" w:ascii="宋体" w:hAnsi="宋体" w:cs="宋体"/>
                <w:color w:val="auto"/>
                <w:szCs w:val="21"/>
                <w:highlight w:val="none"/>
              </w:rPr>
              <w:t>大写：</w:t>
            </w:r>
          </w:p>
        </w:tc>
        <w:tc>
          <w:tcPr>
            <w:tcW w:w="1735" w:type="dxa"/>
            <w:vMerge w:val="restart"/>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41" w:type="dxa"/>
            <w:vMerge w:val="continue"/>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p>
        </w:tc>
        <w:tc>
          <w:tcPr>
            <w:tcW w:w="2546" w:type="dxa"/>
            <w:vMerge w:val="continue"/>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p>
        </w:tc>
        <w:tc>
          <w:tcPr>
            <w:tcW w:w="4125" w:type="dxa"/>
            <w:vAlign w:val="center"/>
          </w:tcPr>
          <w:p>
            <w:pPr>
              <w:tabs>
                <w:tab w:val="left" w:pos="8280"/>
              </w:tabs>
              <w:autoSpaceDE w:val="0"/>
              <w:autoSpaceDN w:val="0"/>
              <w:adjustRightInd w:val="0"/>
              <w:spacing w:line="300" w:lineRule="exact"/>
              <w:jc w:val="left"/>
              <w:rPr>
                <w:rFonts w:ascii="宋体" w:hAnsi="宋体" w:cs="宋体"/>
                <w:color w:val="auto"/>
                <w:szCs w:val="21"/>
                <w:highlight w:val="none"/>
              </w:rPr>
            </w:pPr>
            <w:r>
              <w:rPr>
                <w:rFonts w:hint="eastAsia" w:ascii="宋体" w:hAnsi="宋体" w:cs="宋体"/>
                <w:color w:val="auto"/>
                <w:szCs w:val="21"/>
                <w:highlight w:val="none"/>
              </w:rPr>
              <w:t>小写：</w:t>
            </w:r>
          </w:p>
        </w:tc>
        <w:tc>
          <w:tcPr>
            <w:tcW w:w="1735" w:type="dxa"/>
            <w:vMerge w:val="continue"/>
            <w:vAlign w:val="center"/>
          </w:tcPr>
          <w:p>
            <w:pPr>
              <w:tabs>
                <w:tab w:val="left" w:pos="8280"/>
              </w:tabs>
              <w:autoSpaceDE w:val="0"/>
              <w:autoSpaceDN w:val="0"/>
              <w:adjustRightInd w:val="0"/>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87" w:type="dxa"/>
            <w:gridSpan w:val="2"/>
            <w:vAlign w:val="center"/>
          </w:tcPr>
          <w:p>
            <w:pPr>
              <w:pStyle w:val="3"/>
              <w:ind w:firstLine="723"/>
              <w:jc w:val="center"/>
              <w:rPr>
                <w:rFonts w:hAnsi="宋体"/>
                <w:b/>
                <w:color w:val="auto"/>
                <w:sz w:val="21"/>
                <w:szCs w:val="21"/>
                <w:highlight w:val="none"/>
              </w:rPr>
            </w:pPr>
            <w:r>
              <w:rPr>
                <w:rFonts w:hint="eastAsia" w:hAnsi="宋体"/>
                <w:b/>
                <w:color w:val="auto"/>
                <w:sz w:val="21"/>
                <w:szCs w:val="21"/>
                <w:highlight w:val="none"/>
              </w:rPr>
              <w:t>供货期</w:t>
            </w:r>
          </w:p>
        </w:tc>
        <w:tc>
          <w:tcPr>
            <w:tcW w:w="5860" w:type="dxa"/>
            <w:gridSpan w:val="2"/>
            <w:vAlign w:val="center"/>
          </w:tcPr>
          <w:p>
            <w:pPr>
              <w:widowControl/>
              <w:spacing w:line="360" w:lineRule="auto"/>
              <w:ind w:left="103" w:right="100" w:firstLine="422" w:firstLineChars="200"/>
              <w:rPr>
                <w:rFonts w:ascii="宋体" w:hAnsi="宋体"/>
                <w:b/>
                <w:color w:val="auto"/>
                <w:szCs w:val="21"/>
                <w:highlight w:val="none"/>
              </w:rPr>
            </w:pPr>
          </w:p>
        </w:tc>
      </w:tr>
    </w:tbl>
    <w:p>
      <w:pPr>
        <w:pStyle w:val="126"/>
        <w:spacing w:line="360" w:lineRule="auto"/>
        <w:ind w:right="480"/>
        <w:jc w:val="left"/>
        <w:rPr>
          <w:rFonts w:ascii="宋体" w:hAnsi="宋体" w:cs="宋体"/>
          <w:color w:val="auto"/>
          <w:szCs w:val="21"/>
          <w:highlight w:val="none"/>
        </w:rPr>
      </w:pPr>
      <w:r>
        <w:rPr>
          <w:rFonts w:hint="eastAsia" w:ascii="宋体" w:hAnsi="宋体" w:cs="宋体"/>
          <w:color w:val="auto"/>
          <w:szCs w:val="21"/>
          <w:highlight w:val="none"/>
        </w:rPr>
        <w:t xml:space="preserve"> 填报要求：</w:t>
      </w:r>
    </w:p>
    <w:p>
      <w:pPr>
        <w:spacing w:line="360" w:lineRule="auto"/>
        <w:ind w:left="420"/>
        <w:rPr>
          <w:rFonts w:ascii="宋体" w:hAnsi="宋体" w:cs="宋体"/>
          <w:color w:val="auto"/>
          <w:szCs w:val="21"/>
          <w:highlight w:val="none"/>
        </w:rPr>
      </w:pPr>
      <w:r>
        <w:rPr>
          <w:rFonts w:ascii="宋体" w:hAnsi="宋体" w:cs="宋体"/>
          <w:color w:val="auto"/>
          <w:szCs w:val="21"/>
          <w:highlight w:val="none"/>
        </w:rPr>
        <w:t>1.报价一经涂改，应在涂改处加盖单位公章或者由法定代表人或授权委托人签字或盖章，否则其投标作无效标处理；</w:t>
      </w:r>
    </w:p>
    <w:p>
      <w:pPr>
        <w:spacing w:line="360" w:lineRule="auto"/>
        <w:ind w:left="42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报价应包含货款、标准附件、备品备件、专用工具、包装、运输、装卸、保险、税金、货到就位以及安装、调试、培训、保修、等一切税金和费用</w:t>
      </w:r>
      <w:r>
        <w:rPr>
          <w:rFonts w:ascii="宋体" w:hAnsi="宋体" w:cs="宋体"/>
          <w:color w:val="auto"/>
          <w:szCs w:val="21"/>
          <w:highlight w:val="none"/>
        </w:rPr>
        <w:t>。</w:t>
      </w:r>
    </w:p>
    <w:p>
      <w:pPr>
        <w:spacing w:line="360" w:lineRule="auto"/>
        <w:ind w:left="420"/>
        <w:jc w:val="right"/>
        <w:rPr>
          <w:rFonts w:ascii="宋体" w:hAnsi="宋体" w:cs="宋体"/>
          <w:color w:val="auto"/>
          <w:szCs w:val="21"/>
          <w:highlight w:val="none"/>
        </w:rPr>
      </w:pPr>
      <w:r>
        <w:rPr>
          <w:rFonts w:hint="eastAsia" w:ascii="宋体" w:hAnsi="宋体" w:cs="宋体"/>
          <w:color w:val="auto"/>
          <w:szCs w:val="21"/>
          <w:highlight w:val="none"/>
        </w:rPr>
        <w:t>投标人名称（盖公章）：</w:t>
      </w:r>
    </w:p>
    <w:p>
      <w:pPr>
        <w:spacing w:line="360" w:lineRule="auto"/>
        <w:ind w:firstLine="371" w:firstLineChars="177"/>
        <w:jc w:val="righ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auto"/>
        <w:ind w:firstLine="435"/>
        <w:jc w:val="right"/>
        <w:rPr>
          <w:rFonts w:ascii="宋体" w:hAnsi="宋体" w:cs="宋体"/>
          <w:color w:val="auto"/>
          <w:szCs w:val="21"/>
          <w:highlight w:val="none"/>
        </w:rPr>
      </w:pPr>
      <w:r>
        <w:rPr>
          <w:rFonts w:hint="eastAsia" w:ascii="宋体" w:hAnsi="宋体" w:cs="宋体"/>
          <w:color w:val="auto"/>
          <w:szCs w:val="21"/>
          <w:highlight w:val="none"/>
        </w:rPr>
        <w:t>日        期：</w:t>
      </w:r>
    </w:p>
    <w:p>
      <w:pPr>
        <w:spacing w:line="480" w:lineRule="auto"/>
        <w:ind w:firstLine="435"/>
        <w:jc w:val="right"/>
        <w:rPr>
          <w:rFonts w:cs="宋体" w:asciiTheme="minorEastAsia" w:hAnsiTheme="minorEastAsia" w:eastAsiaTheme="minorEastAsia"/>
          <w:color w:val="auto"/>
          <w:szCs w:val="21"/>
          <w:highlight w:val="none"/>
        </w:rPr>
      </w:pPr>
    </w:p>
    <w:p>
      <w:pPr>
        <w:pStyle w:val="3"/>
        <w:rPr>
          <w:color w:val="auto"/>
          <w:highlight w:val="none"/>
        </w:rPr>
      </w:pPr>
    </w:p>
    <w:p>
      <w:pPr>
        <w:rPr>
          <w:color w:val="auto"/>
          <w:highlight w:val="none"/>
        </w:rPr>
      </w:pPr>
    </w:p>
    <w:p>
      <w:pPr>
        <w:pStyle w:val="3"/>
        <w:rPr>
          <w:color w:val="auto"/>
          <w:highlight w:val="none"/>
        </w:rPr>
      </w:pPr>
    </w:p>
    <w:p>
      <w:pPr>
        <w:rPr>
          <w:color w:val="auto"/>
          <w:highlight w:val="none"/>
        </w:rPr>
      </w:pPr>
    </w:p>
    <w:p>
      <w:pPr>
        <w:rPr>
          <w:color w:val="auto"/>
          <w:highlight w:val="none"/>
        </w:rPr>
      </w:pPr>
    </w:p>
    <w:p>
      <w:pPr>
        <w:spacing w:line="360" w:lineRule="auto"/>
        <w:jc w:val="center"/>
        <w:rPr>
          <w:rFonts w:cs="宋体" w:asciiTheme="minorEastAsia" w:hAnsiTheme="minorEastAsia" w:eastAsiaTheme="minorEastAsia"/>
          <w:b/>
          <w:bCs/>
          <w:color w:val="auto"/>
          <w:kern w:val="0"/>
          <w:sz w:val="32"/>
          <w:szCs w:val="32"/>
          <w:highlight w:val="none"/>
        </w:rPr>
      </w:pPr>
    </w:p>
    <w:p>
      <w:pPr>
        <w:spacing w:line="360" w:lineRule="auto"/>
        <w:jc w:val="center"/>
        <w:rPr>
          <w:rFonts w:cs="宋体" w:asciiTheme="minorEastAsia" w:hAnsiTheme="minorEastAsia" w:eastAsiaTheme="minorEastAsia"/>
          <w:b/>
          <w:bCs/>
          <w:color w:val="auto"/>
          <w:kern w:val="0"/>
          <w:sz w:val="32"/>
          <w:szCs w:val="32"/>
          <w:highlight w:val="none"/>
        </w:rPr>
      </w:pPr>
    </w:p>
    <w:p>
      <w:pPr>
        <w:pageBreakBefore/>
        <w:spacing w:line="360" w:lineRule="auto"/>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三、报价明细表</w:t>
      </w:r>
    </w:p>
    <w:p>
      <w:pPr>
        <w:ind w:firstLine="826" w:firstLineChars="392"/>
        <w:rPr>
          <w:rFonts w:ascii="Arial" w:hAnsi="Arial" w:eastAsia="新宋体" w:cs="Arial"/>
          <w:b/>
          <w:color w:val="auto"/>
          <w:szCs w:val="21"/>
          <w:highlight w:val="none"/>
        </w:rPr>
      </w:pPr>
      <w:r>
        <w:rPr>
          <w:rFonts w:ascii="Arial" w:hAnsi="Arial" w:eastAsia="新宋体" w:cs="Arial"/>
          <w:b/>
          <w:color w:val="auto"/>
          <w:szCs w:val="21"/>
          <w:highlight w:val="none"/>
        </w:rPr>
        <w:t>项目名称：</w:t>
      </w:r>
    </w:p>
    <w:p>
      <w:pPr>
        <w:ind w:firstLine="826" w:firstLineChars="392"/>
        <w:rPr>
          <w:rFonts w:ascii="Arial" w:hAnsi="Arial" w:cs="Arial"/>
          <w:color w:val="auto"/>
          <w:szCs w:val="21"/>
          <w:highlight w:val="none"/>
        </w:rPr>
      </w:pPr>
      <w:r>
        <w:rPr>
          <w:rFonts w:ascii="Arial" w:hAnsi="Arial" w:cs="Arial"/>
          <w:b/>
          <w:color w:val="auto"/>
          <w:szCs w:val="21"/>
          <w:highlight w:val="none"/>
        </w:rPr>
        <w:t xml:space="preserve">项目编号: </w:t>
      </w:r>
    </w:p>
    <w:tbl>
      <w:tblPr>
        <w:tblStyle w:val="47"/>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292"/>
        <w:gridCol w:w="1150"/>
        <w:gridCol w:w="1012"/>
        <w:gridCol w:w="965"/>
        <w:gridCol w:w="910"/>
        <w:gridCol w:w="762"/>
        <w:gridCol w:w="830"/>
        <w:gridCol w:w="83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34"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序号</w:t>
            </w:r>
          </w:p>
        </w:tc>
        <w:tc>
          <w:tcPr>
            <w:tcW w:w="1292"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设备名称</w:t>
            </w:r>
          </w:p>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（采购标的）</w:t>
            </w:r>
          </w:p>
        </w:tc>
        <w:tc>
          <w:tcPr>
            <w:tcW w:w="1150"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制造商名称（全称）</w:t>
            </w:r>
          </w:p>
        </w:tc>
        <w:tc>
          <w:tcPr>
            <w:tcW w:w="1012"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是否是小微企业</w:t>
            </w:r>
          </w:p>
        </w:tc>
        <w:tc>
          <w:tcPr>
            <w:tcW w:w="965"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品牌、产地</w:t>
            </w:r>
          </w:p>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（如有）</w:t>
            </w:r>
          </w:p>
        </w:tc>
        <w:tc>
          <w:tcPr>
            <w:tcW w:w="910"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型号和规格</w:t>
            </w:r>
          </w:p>
        </w:tc>
        <w:tc>
          <w:tcPr>
            <w:tcW w:w="762"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数量</w:t>
            </w:r>
          </w:p>
        </w:tc>
        <w:tc>
          <w:tcPr>
            <w:tcW w:w="830"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单位</w:t>
            </w:r>
          </w:p>
        </w:tc>
        <w:tc>
          <w:tcPr>
            <w:tcW w:w="838"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单价</w:t>
            </w:r>
          </w:p>
        </w:tc>
        <w:tc>
          <w:tcPr>
            <w:tcW w:w="782" w:type="dxa"/>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vAlign w:val="center"/>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9</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10</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11</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12</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13</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14</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15</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17</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18</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19</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20</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34"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21</w:t>
            </w:r>
          </w:p>
        </w:tc>
        <w:tc>
          <w:tcPr>
            <w:tcW w:w="1292" w:type="dxa"/>
            <w:vAlign w:val="center"/>
          </w:tcPr>
          <w:p>
            <w:pPr>
              <w:jc w:val="center"/>
              <w:rPr>
                <w:rFonts w:ascii="宋体" w:hAnsi="宋体" w:cs="宋体"/>
                <w:color w:val="auto"/>
                <w:sz w:val="18"/>
                <w:szCs w:val="18"/>
                <w:highlight w:val="none"/>
              </w:rPr>
            </w:pPr>
          </w:p>
        </w:tc>
        <w:tc>
          <w:tcPr>
            <w:tcW w:w="1150" w:type="dxa"/>
            <w:vAlign w:val="center"/>
          </w:tcPr>
          <w:p>
            <w:pPr>
              <w:rPr>
                <w:rFonts w:ascii="宋体" w:hAnsi="宋体" w:cs="宋体"/>
                <w:color w:val="auto"/>
                <w:sz w:val="18"/>
                <w:szCs w:val="18"/>
                <w:highlight w:val="none"/>
              </w:rPr>
            </w:pPr>
          </w:p>
        </w:tc>
        <w:tc>
          <w:tcPr>
            <w:tcW w:w="1012" w:type="dxa"/>
            <w:vAlign w:val="center"/>
          </w:tcPr>
          <w:p>
            <w:pPr>
              <w:rPr>
                <w:rFonts w:ascii="宋体" w:hAnsi="宋体" w:cs="宋体"/>
                <w:color w:val="auto"/>
                <w:sz w:val="18"/>
                <w:szCs w:val="18"/>
                <w:highlight w:val="none"/>
              </w:rPr>
            </w:pPr>
          </w:p>
        </w:tc>
        <w:tc>
          <w:tcPr>
            <w:tcW w:w="965" w:type="dxa"/>
            <w:vAlign w:val="center"/>
          </w:tcPr>
          <w:p>
            <w:pPr>
              <w:rPr>
                <w:rFonts w:ascii="宋体" w:hAnsi="宋体" w:cs="宋体"/>
                <w:color w:val="auto"/>
                <w:sz w:val="18"/>
                <w:szCs w:val="18"/>
                <w:highlight w:val="none"/>
              </w:rPr>
            </w:pPr>
          </w:p>
        </w:tc>
        <w:tc>
          <w:tcPr>
            <w:tcW w:w="910" w:type="dxa"/>
          </w:tcPr>
          <w:p>
            <w:pPr>
              <w:rPr>
                <w:rFonts w:ascii="宋体" w:hAnsi="宋体" w:cs="宋体"/>
                <w:color w:val="auto"/>
                <w:sz w:val="18"/>
                <w:szCs w:val="18"/>
                <w:highlight w:val="none"/>
              </w:rPr>
            </w:pPr>
          </w:p>
        </w:tc>
        <w:tc>
          <w:tcPr>
            <w:tcW w:w="762" w:type="dxa"/>
            <w:vAlign w:val="center"/>
          </w:tcPr>
          <w:p>
            <w:pPr>
              <w:jc w:val="center"/>
              <w:rPr>
                <w:rFonts w:ascii="宋体" w:hAnsi="宋体" w:cs="宋体"/>
                <w:color w:val="auto"/>
                <w:sz w:val="18"/>
                <w:szCs w:val="18"/>
                <w:highlight w:val="none"/>
              </w:rPr>
            </w:pPr>
          </w:p>
        </w:tc>
        <w:tc>
          <w:tcPr>
            <w:tcW w:w="830" w:type="dxa"/>
            <w:vAlign w:val="center"/>
          </w:tcPr>
          <w:p>
            <w:pPr>
              <w:jc w:val="center"/>
              <w:rPr>
                <w:rFonts w:ascii="宋体" w:hAnsi="宋体" w:cs="宋体"/>
                <w:color w:val="auto"/>
                <w:sz w:val="18"/>
                <w:szCs w:val="18"/>
                <w:highlight w:val="none"/>
              </w:rPr>
            </w:pPr>
          </w:p>
        </w:tc>
        <w:tc>
          <w:tcPr>
            <w:tcW w:w="838" w:type="dxa"/>
            <w:vAlign w:val="center"/>
          </w:tcPr>
          <w:p>
            <w:pPr>
              <w:rPr>
                <w:rFonts w:ascii="宋体" w:hAnsi="宋体" w:cs="宋体"/>
                <w:color w:val="auto"/>
                <w:sz w:val="18"/>
                <w:szCs w:val="18"/>
                <w:highlight w:val="none"/>
              </w:rPr>
            </w:pPr>
          </w:p>
        </w:tc>
        <w:tc>
          <w:tcPr>
            <w:tcW w:w="782"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193" w:type="dxa"/>
            <w:gridSpan w:val="9"/>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合计大写（人民币）：</w:t>
            </w:r>
          </w:p>
        </w:tc>
        <w:tc>
          <w:tcPr>
            <w:tcW w:w="782"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w:t>
            </w:r>
          </w:p>
        </w:tc>
      </w:tr>
    </w:tbl>
    <w:p>
      <w:pPr>
        <w:numPr>
          <w:ilvl w:val="0"/>
          <w:numId w:val="8"/>
        </w:numPr>
        <w:ind w:left="-2" w:leftChars="-1" w:firstLine="420" w:firstLineChars="200"/>
        <w:rPr>
          <w:rFonts w:ascii="宋体" w:hAnsi="宋体" w:cs="微软雅黑"/>
          <w:color w:val="auto"/>
          <w:kern w:val="0"/>
          <w:highlight w:val="none"/>
        </w:rPr>
      </w:pPr>
      <w:r>
        <w:rPr>
          <w:rFonts w:hint="eastAsia" w:ascii="宋体" w:hAnsi="宋体" w:cs="微软雅黑"/>
          <w:color w:val="auto"/>
          <w:kern w:val="0"/>
          <w:highlight w:val="none"/>
        </w:rPr>
        <w:t>此表的合计总价应与开标一览表中投标报价总价一致。</w:t>
      </w:r>
    </w:p>
    <w:p>
      <w:pPr>
        <w:numPr>
          <w:ilvl w:val="0"/>
          <w:numId w:val="8"/>
        </w:numPr>
        <w:ind w:left="-2" w:leftChars="-1" w:firstLine="420" w:firstLineChars="200"/>
        <w:rPr>
          <w:rFonts w:ascii="宋体" w:hAnsi="宋体" w:cs="微软雅黑"/>
          <w:color w:val="auto"/>
          <w:kern w:val="0"/>
          <w:highlight w:val="none"/>
          <w:lang w:val="zh-CN"/>
        </w:rPr>
      </w:pPr>
      <w:r>
        <w:rPr>
          <w:rFonts w:hint="eastAsia" w:ascii="宋体" w:hAnsi="宋体" w:cs="微软雅黑"/>
          <w:color w:val="auto"/>
          <w:kern w:val="0"/>
          <w:highlight w:val="none"/>
          <w:lang w:val="zh-CN"/>
        </w:rPr>
        <w:t>投标人需按本表格式填写，如无对应内容，则填写：“无或/”。</w:t>
      </w:r>
    </w:p>
    <w:p>
      <w:pPr>
        <w:pStyle w:val="16"/>
        <w:spacing w:line="480" w:lineRule="auto"/>
        <w:rPr>
          <w:rFonts w:ascii="宋体" w:hAnsi="宋体" w:cs="微软雅黑"/>
          <w:color w:val="auto"/>
          <w:kern w:val="0"/>
          <w:highlight w:val="none"/>
        </w:rPr>
      </w:pPr>
    </w:p>
    <w:p>
      <w:pPr>
        <w:spacing w:line="480" w:lineRule="auto"/>
        <w:ind w:left="420"/>
        <w:jc w:val="right"/>
        <w:rPr>
          <w:rFonts w:ascii="宋体" w:hAnsi="宋体" w:cs="微软雅黑"/>
          <w:color w:val="auto"/>
          <w:szCs w:val="21"/>
          <w:highlight w:val="none"/>
          <w:u w:val="single"/>
        </w:rPr>
      </w:pPr>
      <w:r>
        <w:rPr>
          <w:rFonts w:hint="eastAsia" w:ascii="宋体" w:hAnsi="宋体" w:cs="微软雅黑"/>
          <w:color w:val="auto"/>
          <w:szCs w:val="21"/>
          <w:highlight w:val="none"/>
        </w:rPr>
        <w:t>投标人名称（盖公章）：</w:t>
      </w:r>
    </w:p>
    <w:p>
      <w:pPr>
        <w:spacing w:line="480" w:lineRule="auto"/>
        <w:ind w:firstLine="371" w:firstLineChars="177"/>
        <w:jc w:val="right"/>
        <w:rPr>
          <w:rFonts w:ascii="宋体" w:hAnsi="宋体" w:cs="微软雅黑"/>
          <w:color w:val="auto"/>
          <w:szCs w:val="21"/>
          <w:highlight w:val="none"/>
        </w:rPr>
      </w:pPr>
      <w:r>
        <w:rPr>
          <w:rFonts w:hint="eastAsia" w:ascii="宋体" w:hAnsi="宋体" w:cs="微软雅黑"/>
          <w:color w:val="auto"/>
          <w:szCs w:val="21"/>
          <w:highlight w:val="none"/>
        </w:rPr>
        <w:t>法定代表人或代理人（签字或盖章）：</w:t>
      </w:r>
    </w:p>
    <w:p>
      <w:pPr>
        <w:spacing w:line="480" w:lineRule="auto"/>
        <w:ind w:firstLine="435"/>
        <w:jc w:val="right"/>
        <w:rPr>
          <w:rFonts w:ascii="宋体" w:hAnsi="宋体" w:cs="微软雅黑"/>
          <w:color w:val="auto"/>
          <w:szCs w:val="21"/>
          <w:highlight w:val="none"/>
        </w:rPr>
      </w:pPr>
      <w:r>
        <w:rPr>
          <w:rFonts w:hint="eastAsia" w:ascii="宋体" w:hAnsi="宋体" w:cs="微软雅黑"/>
          <w:color w:val="auto"/>
          <w:szCs w:val="21"/>
          <w:highlight w:val="none"/>
        </w:rPr>
        <w:t>日        期：</w:t>
      </w:r>
    </w:p>
    <w:p>
      <w:pPr>
        <w:pageBreakBefore/>
        <w:spacing w:line="360" w:lineRule="auto"/>
        <w:ind w:right="-108"/>
        <w:jc w:val="center"/>
        <w:outlineLvl w:val="0"/>
        <w:rPr>
          <w:rFonts w:asciiTheme="minorEastAsia" w:hAnsiTheme="minorEastAsia" w:eastAsiaTheme="minorEastAsia"/>
          <w:color w:val="auto"/>
          <w:spacing w:val="40"/>
          <w:sz w:val="52"/>
          <w:szCs w:val="52"/>
          <w:highlight w:val="none"/>
        </w:rPr>
      </w:pPr>
      <w:bookmarkStart w:id="102" w:name="_Toc29941"/>
      <w:bookmarkStart w:id="103" w:name="_Toc17190"/>
      <w:bookmarkStart w:id="104" w:name="_Toc11790"/>
      <w:bookmarkStart w:id="105" w:name="_Toc12630"/>
      <w:bookmarkStart w:id="106" w:name="_Toc30629"/>
      <w:bookmarkStart w:id="107" w:name="_Toc4606"/>
      <w:bookmarkStart w:id="108" w:name="_Toc24755"/>
      <w:r>
        <w:rPr>
          <w:rFonts w:hint="eastAsia" w:asciiTheme="minorEastAsia" w:hAnsiTheme="minorEastAsia" w:eastAsiaTheme="minorEastAsia"/>
          <w:color w:val="auto"/>
          <w:spacing w:val="40"/>
          <w:sz w:val="52"/>
          <w:szCs w:val="52"/>
          <w:highlight w:val="none"/>
        </w:rPr>
        <w:t>项目名称</w:t>
      </w:r>
      <w:bookmarkEnd w:id="102"/>
      <w:bookmarkEnd w:id="103"/>
      <w:bookmarkEnd w:id="104"/>
      <w:bookmarkEnd w:id="105"/>
      <w:bookmarkEnd w:id="106"/>
      <w:bookmarkEnd w:id="107"/>
      <w:bookmarkEnd w:id="108"/>
    </w:p>
    <w:p>
      <w:pPr>
        <w:spacing w:beforeLines="100" w:line="360" w:lineRule="auto"/>
        <w:ind w:right="-108"/>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 xml:space="preserve">项目编号：   </w:t>
      </w:r>
    </w:p>
    <w:p>
      <w:pPr>
        <w:spacing w:beforeLines="100" w:line="360" w:lineRule="auto"/>
        <w:ind w:right="-108"/>
        <w:jc w:val="center"/>
        <w:rPr>
          <w:rFonts w:cs="宋体" w:asciiTheme="minorEastAsia" w:hAnsiTheme="minorEastAsia" w:eastAsiaTheme="minorEastAsia"/>
          <w:color w:val="auto"/>
          <w:sz w:val="84"/>
          <w:szCs w:val="84"/>
          <w:highlight w:val="none"/>
          <w:lang w:val="zh-CN"/>
        </w:rPr>
      </w:pPr>
      <w:r>
        <w:rPr>
          <w:rFonts w:hint="eastAsia" w:cs="宋体" w:asciiTheme="minorEastAsia" w:hAnsiTheme="minorEastAsia" w:eastAsiaTheme="minorEastAsia"/>
          <w:color w:val="auto"/>
          <w:sz w:val="84"/>
          <w:szCs w:val="84"/>
          <w:highlight w:val="none"/>
          <w:lang w:val="zh-CN"/>
        </w:rPr>
        <w:t>投</w:t>
      </w:r>
    </w:p>
    <w:p>
      <w:pPr>
        <w:autoSpaceDE w:val="0"/>
        <w:autoSpaceDN w:val="0"/>
        <w:adjustRightInd w:val="0"/>
        <w:spacing w:line="360" w:lineRule="auto"/>
        <w:jc w:val="center"/>
        <w:rPr>
          <w:rFonts w:cs="宋体" w:asciiTheme="minorEastAsia" w:hAnsiTheme="minorEastAsia" w:eastAsiaTheme="minorEastAsia"/>
          <w:color w:val="auto"/>
          <w:sz w:val="84"/>
          <w:szCs w:val="84"/>
          <w:highlight w:val="none"/>
          <w:lang w:val="zh-CN"/>
        </w:rPr>
      </w:pPr>
      <w:r>
        <w:rPr>
          <w:rFonts w:hint="eastAsia" w:cs="宋体" w:asciiTheme="minorEastAsia" w:hAnsiTheme="minorEastAsia" w:eastAsiaTheme="minorEastAsia"/>
          <w:color w:val="auto"/>
          <w:sz w:val="84"/>
          <w:szCs w:val="84"/>
          <w:highlight w:val="none"/>
          <w:lang w:val="zh-CN"/>
        </w:rPr>
        <w:t>标</w:t>
      </w:r>
    </w:p>
    <w:p>
      <w:pPr>
        <w:autoSpaceDE w:val="0"/>
        <w:autoSpaceDN w:val="0"/>
        <w:adjustRightInd w:val="0"/>
        <w:spacing w:line="360" w:lineRule="auto"/>
        <w:jc w:val="center"/>
        <w:rPr>
          <w:rFonts w:asciiTheme="minorEastAsia" w:hAnsiTheme="minorEastAsia" w:eastAsiaTheme="minorEastAsia"/>
          <w:color w:val="auto"/>
          <w:sz w:val="84"/>
          <w:szCs w:val="84"/>
          <w:highlight w:val="none"/>
        </w:rPr>
      </w:pPr>
      <w:r>
        <w:rPr>
          <w:rFonts w:hint="eastAsia" w:cs="宋体" w:asciiTheme="minorEastAsia" w:hAnsiTheme="minorEastAsia" w:eastAsiaTheme="minorEastAsia"/>
          <w:color w:val="auto"/>
          <w:sz w:val="84"/>
          <w:szCs w:val="84"/>
          <w:highlight w:val="none"/>
          <w:lang w:val="zh-CN"/>
        </w:rPr>
        <w:t>文</w:t>
      </w:r>
    </w:p>
    <w:p>
      <w:pPr>
        <w:spacing w:after="100" w:afterAutospacing="1" w:line="360" w:lineRule="auto"/>
        <w:ind w:right="-108"/>
        <w:jc w:val="center"/>
        <w:rPr>
          <w:rFonts w:cs="宋体" w:asciiTheme="minorEastAsia" w:hAnsiTheme="minorEastAsia" w:eastAsiaTheme="minorEastAsia"/>
          <w:color w:val="auto"/>
          <w:sz w:val="84"/>
          <w:szCs w:val="84"/>
          <w:highlight w:val="none"/>
          <w:lang w:val="zh-CN"/>
        </w:rPr>
      </w:pPr>
      <w:r>
        <w:rPr>
          <w:rFonts w:hint="eastAsia" w:cs="宋体" w:asciiTheme="minorEastAsia" w:hAnsiTheme="minorEastAsia" w:eastAsiaTheme="minorEastAsia"/>
          <w:color w:val="auto"/>
          <w:sz w:val="84"/>
          <w:szCs w:val="84"/>
          <w:highlight w:val="none"/>
          <w:lang w:val="zh-CN"/>
        </w:rPr>
        <w:t>件</w:t>
      </w:r>
    </w:p>
    <w:p>
      <w:pPr>
        <w:spacing w:after="100" w:afterAutospacing="1" w:line="360" w:lineRule="auto"/>
        <w:ind w:right="-108"/>
        <w:jc w:val="center"/>
        <w:rPr>
          <w:rFonts w:asciiTheme="minorEastAsia" w:hAnsiTheme="minorEastAsia" w:eastAsiaTheme="minorEastAsia"/>
          <w:b/>
          <w:color w:val="auto"/>
          <w:spacing w:val="40"/>
          <w:sz w:val="28"/>
          <w:szCs w:val="28"/>
          <w:highlight w:val="none"/>
        </w:rPr>
      </w:pPr>
      <w:r>
        <w:rPr>
          <w:rFonts w:hint="eastAsia" w:cs="宋体" w:asciiTheme="minorEastAsia" w:hAnsiTheme="minorEastAsia" w:eastAsiaTheme="minorEastAsia"/>
          <w:color w:val="auto"/>
          <w:sz w:val="28"/>
          <w:szCs w:val="28"/>
          <w:highlight w:val="none"/>
          <w:lang w:val="zh-CN"/>
        </w:rPr>
        <w:t>（</w:t>
      </w:r>
      <w:r>
        <w:rPr>
          <w:rFonts w:hint="eastAsia" w:asciiTheme="minorEastAsia" w:hAnsiTheme="minorEastAsia" w:eastAsiaTheme="minorEastAsia"/>
          <w:bCs/>
          <w:color w:val="auto"/>
          <w:sz w:val="24"/>
          <w:highlight w:val="none"/>
          <w:lang w:val="zh-CN"/>
        </w:rPr>
        <w:t>商务与技术文件</w:t>
      </w:r>
      <w:r>
        <w:rPr>
          <w:rFonts w:hint="eastAsia" w:asciiTheme="minorEastAsia" w:hAnsiTheme="minorEastAsia" w:eastAsiaTheme="minorEastAsia"/>
          <w:b/>
          <w:color w:val="auto"/>
          <w:spacing w:val="40"/>
          <w:sz w:val="28"/>
          <w:szCs w:val="28"/>
          <w:highlight w:val="none"/>
        </w:rPr>
        <w:t>）</w:t>
      </w:r>
    </w:p>
    <w:p>
      <w:pPr>
        <w:spacing w:line="480" w:lineRule="auto"/>
        <w:ind w:right="532" w:firstLine="720" w:firstLineChars="200"/>
        <w:rPr>
          <w:rFonts w:asciiTheme="minorEastAsia" w:hAnsiTheme="minorEastAsia" w:eastAsiaTheme="minorEastAsia"/>
          <w:color w:val="auto"/>
          <w:sz w:val="36"/>
          <w:szCs w:val="36"/>
          <w:highlight w:val="none"/>
        </w:rPr>
      </w:pPr>
    </w:p>
    <w:p>
      <w:pPr>
        <w:spacing w:line="480" w:lineRule="auto"/>
        <w:ind w:right="532"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投标人名称（公章）：</w:t>
      </w:r>
    </w:p>
    <w:p>
      <w:pPr>
        <w:spacing w:line="480" w:lineRule="auto"/>
        <w:ind w:right="532"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投标人地址：</w:t>
      </w:r>
    </w:p>
    <w:p>
      <w:pPr>
        <w:spacing w:line="480" w:lineRule="auto"/>
        <w:ind w:right="532" w:firstLine="720" w:firstLineChars="2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时</w:t>
      </w:r>
      <w:r>
        <w:rPr>
          <w:rFonts w:asciiTheme="minorEastAsia" w:hAnsiTheme="minorEastAsia" w:eastAsiaTheme="minorEastAsia"/>
          <w:color w:val="auto"/>
          <w:sz w:val="36"/>
          <w:szCs w:val="36"/>
          <w:highlight w:val="none"/>
        </w:rPr>
        <w:t xml:space="preserve">    间：</w:t>
      </w: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b/>
          <w:color w:val="auto"/>
          <w:sz w:val="44"/>
          <w:szCs w:val="44"/>
          <w:highlight w:val="none"/>
        </w:rPr>
      </w:pPr>
    </w:p>
    <w:p>
      <w:pPr>
        <w:jc w:val="center"/>
        <w:rPr>
          <w:rFonts w:asciiTheme="minorEastAsia" w:hAnsiTheme="minorEastAsia" w:eastAsiaTheme="minorEastAsia"/>
          <w:b/>
          <w:color w:val="auto"/>
          <w:sz w:val="44"/>
          <w:szCs w:val="44"/>
          <w:highlight w:val="none"/>
        </w:rPr>
        <w:sectPr>
          <w:pgSz w:w="11906" w:h="16838"/>
          <w:pgMar w:top="907" w:right="1134" w:bottom="907" w:left="1134" w:header="851" w:footer="992" w:gutter="0"/>
          <w:cols w:space="720" w:num="1"/>
          <w:docGrid w:type="lines" w:linePitch="312" w:charSpace="0"/>
        </w:sectPr>
      </w:pPr>
    </w:p>
    <w:p>
      <w:pPr>
        <w:jc w:val="center"/>
        <w:rPr>
          <w:rFonts w:asciiTheme="minorEastAsia" w:hAnsiTheme="minorEastAsia" w:eastAsiaTheme="minorEastAsia"/>
          <w:b/>
          <w:color w:val="auto"/>
          <w:sz w:val="44"/>
          <w:szCs w:val="44"/>
          <w:highlight w:val="none"/>
        </w:rPr>
      </w:pPr>
      <w:r>
        <w:rPr>
          <w:rFonts w:asciiTheme="minorEastAsia" w:hAnsiTheme="minorEastAsia" w:eastAsiaTheme="minorEastAsia"/>
          <w:b/>
          <w:color w:val="auto"/>
          <w:sz w:val="44"/>
          <w:szCs w:val="44"/>
          <w:highlight w:val="none"/>
        </w:rPr>
        <w:t>技术商务文件</w:t>
      </w:r>
    </w:p>
    <w:p>
      <w:pPr>
        <w:jc w:val="center"/>
        <w:rPr>
          <w:rFonts w:asciiTheme="minorEastAsia" w:hAnsiTheme="minorEastAsia" w:eastAsiaTheme="minorEastAsia"/>
          <w:b/>
          <w:color w:val="auto"/>
          <w:sz w:val="32"/>
          <w:szCs w:val="32"/>
          <w:highlight w:val="none"/>
        </w:rPr>
      </w:pPr>
      <w:r>
        <w:rPr>
          <w:rFonts w:asciiTheme="minorEastAsia" w:hAnsiTheme="minorEastAsia" w:eastAsiaTheme="minorEastAsia"/>
          <w:b/>
          <w:color w:val="auto"/>
          <w:sz w:val="32"/>
          <w:szCs w:val="32"/>
          <w:highlight w:val="none"/>
        </w:rPr>
        <w:t>目录</w:t>
      </w:r>
    </w:p>
    <w:p>
      <w:pPr>
        <w:spacing w:line="480"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商务技术自评表</w:t>
      </w:r>
      <w:r>
        <w:rPr>
          <w:rFonts w:asciiTheme="minorEastAsia" w:hAnsiTheme="minorEastAsia" w:eastAsia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2、供应商基本情况表</w:t>
      </w:r>
      <w:r>
        <w:rPr>
          <w:rFonts w:asciiTheme="minorEastAsia" w:hAnsiTheme="minorEastAsia" w:eastAsia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3、证书一览表</w:t>
      </w:r>
      <w:r>
        <w:rPr>
          <w:rFonts w:asciiTheme="minorEastAsia" w:hAnsiTheme="minorEastAsia" w:eastAsia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供货方案</w:t>
      </w:r>
      <w:r>
        <w:rPr>
          <w:rFonts w:asciiTheme="minorEastAsia" w:hAnsiTheme="minorEastAsia" w:eastAsiaTheme="minorEastAsia"/>
          <w:color w:val="auto"/>
          <w:sz w:val="24"/>
          <w:highlight w:val="none"/>
        </w:rPr>
        <w:t>…………………………………………………………………………………（页码）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、技术规范偏离表…………………………………………………………………………（页码）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、商务偏离表………………………………………………………………………………（页码）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、相关项目实施业绩一览表………………………………………………………………（页码）</w:t>
      </w:r>
    </w:p>
    <w:p>
      <w:pPr>
        <w:spacing w:line="48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、售后服务方案……………………………………………………………………………（页码）</w:t>
      </w:r>
    </w:p>
    <w:p>
      <w:pPr>
        <w:spacing w:line="480" w:lineRule="auto"/>
        <w:jc w:val="left"/>
        <w:rPr>
          <w:rFonts w:ascii="宋体" w:hAnsi="宋体"/>
          <w:color w:val="auto"/>
          <w:sz w:val="24"/>
          <w:highlight w:val="none"/>
        </w:rPr>
      </w:pPr>
      <w:r>
        <w:rPr>
          <w:rFonts w:hint="eastAsia" w:asciiTheme="minorEastAsia" w:hAnsiTheme="minorEastAsia" w:eastAsiaTheme="minorEastAsia"/>
          <w:color w:val="auto"/>
          <w:sz w:val="24"/>
          <w:highlight w:val="none"/>
        </w:rPr>
        <w:t>9</w:t>
      </w:r>
      <w:r>
        <w:rPr>
          <w:rFonts w:hint="eastAsia" w:ascii="宋体" w:hAnsi="宋体"/>
          <w:color w:val="auto"/>
          <w:sz w:val="24"/>
          <w:highlight w:val="none"/>
        </w:rPr>
        <w:t>、评分标准或采购文件需要提供的其他技术商务材料…</w:t>
      </w:r>
      <w:r>
        <w:rPr>
          <w:rFonts w:asciiTheme="minorEastAsia" w:hAnsiTheme="minorEastAsia" w:eastAsiaTheme="minorEastAsia"/>
          <w:color w:val="auto"/>
          <w:sz w:val="24"/>
          <w:highlight w:val="none"/>
        </w:rPr>
        <w:t>………………………</w:t>
      </w:r>
      <w:r>
        <w:rPr>
          <w:rFonts w:hint="eastAsia" w:ascii="宋体" w:hAnsi="宋体"/>
          <w:color w:val="auto"/>
          <w:sz w:val="24"/>
          <w:highlight w:val="none"/>
        </w:rPr>
        <w:t>……（页码）</w:t>
      </w:r>
    </w:p>
    <w:p>
      <w:pPr>
        <w:pStyle w:val="94"/>
        <w:ind w:left="0" w:leftChars="0" w:firstLine="0" w:firstLineChars="0"/>
        <w:rPr>
          <w:rFonts w:eastAsia="宋体" w:cs="Times New Roman"/>
          <w:color w:val="auto"/>
          <w:sz w:val="24"/>
          <w:szCs w:val="24"/>
          <w:highlight w:val="none"/>
        </w:rPr>
      </w:pPr>
      <w:r>
        <w:rPr>
          <w:rFonts w:hint="eastAsia" w:cs="Times New Roman" w:asciiTheme="minorEastAsia" w:hAnsiTheme="minorEastAsia"/>
          <w:color w:val="auto"/>
          <w:sz w:val="24"/>
          <w:szCs w:val="24"/>
          <w:highlight w:val="none"/>
        </w:rPr>
        <w:t>10</w:t>
      </w:r>
      <w:r>
        <w:rPr>
          <w:rFonts w:hint="eastAsia" w:eastAsia="宋体" w:cs="Times New Roman"/>
          <w:color w:val="auto"/>
          <w:sz w:val="24"/>
          <w:szCs w:val="24"/>
          <w:highlight w:val="none"/>
        </w:rPr>
        <w:t>、供应商认为有必要提供的其他技术商务文件资料………</w:t>
      </w:r>
      <w:r>
        <w:rPr>
          <w:rFonts w:asciiTheme="minorEastAsia" w:hAnsiTheme="minorEastAsia"/>
          <w:color w:val="auto"/>
          <w:sz w:val="24"/>
          <w:highlight w:val="none"/>
        </w:rPr>
        <w:t>………………………</w:t>
      </w:r>
      <w:r>
        <w:rPr>
          <w:rFonts w:hint="eastAsia" w:eastAsia="宋体" w:cs="Times New Roman"/>
          <w:color w:val="auto"/>
          <w:sz w:val="24"/>
          <w:szCs w:val="24"/>
          <w:highlight w:val="none"/>
        </w:rPr>
        <w:t>…（页码）</w:t>
      </w:r>
    </w:p>
    <w:p>
      <w:pPr>
        <w:spacing w:line="480" w:lineRule="auto"/>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目录自行扩展)</w:t>
      </w:r>
    </w:p>
    <w:p>
      <w:pPr>
        <w:pStyle w:val="3"/>
        <w:rPr>
          <w:rFonts w:asciiTheme="minorEastAsia" w:hAnsiTheme="minorEastAsia" w:eastAsiaTheme="minorEastAsia"/>
          <w:color w:val="auto"/>
          <w:highlight w:val="none"/>
        </w:rPr>
      </w:pPr>
    </w:p>
    <w:p>
      <w:pPr>
        <w:spacing w:line="360" w:lineRule="auto"/>
        <w:jc w:val="left"/>
        <w:rPr>
          <w:rFonts w:asciiTheme="minorEastAsia" w:hAnsiTheme="minorEastAsia" w:eastAsiaTheme="minorEastAsia"/>
          <w:color w:val="auto"/>
          <w:sz w:val="28"/>
          <w:szCs w:val="28"/>
          <w:highlight w:val="none"/>
        </w:rPr>
      </w:pPr>
    </w:p>
    <w:p>
      <w:pPr>
        <w:pStyle w:val="27"/>
        <w:rPr>
          <w:rFonts w:asciiTheme="minorEastAsia" w:hAnsiTheme="minorEastAsia" w:eastAsiaTheme="minorEastAsia"/>
          <w:color w:val="auto"/>
          <w:highlight w:val="none"/>
        </w:rPr>
        <w:sectPr>
          <w:pgSz w:w="11906" w:h="16838"/>
          <w:pgMar w:top="907" w:right="1134" w:bottom="907" w:left="1134" w:header="851" w:footer="992" w:gutter="0"/>
          <w:cols w:space="720" w:num="1"/>
          <w:docGrid w:type="lines" w:linePitch="312" w:charSpace="0"/>
        </w:sectPr>
      </w:pPr>
    </w:p>
    <w:p>
      <w:pPr>
        <w:pStyle w:val="38"/>
        <w:rPr>
          <w:rFonts w:asciiTheme="minorEastAsia" w:hAnsiTheme="minorEastAsia" w:eastAsiaTheme="minorEastAsia"/>
          <w:color w:val="auto"/>
          <w:highlight w:val="none"/>
        </w:rPr>
      </w:pPr>
    </w:p>
    <w:p>
      <w:pPr>
        <w:pStyle w:val="111"/>
        <w:numPr>
          <w:ilvl w:val="0"/>
          <w:numId w:val="9"/>
        </w:numPr>
        <w:spacing w:afterLines="50" w:line="360" w:lineRule="auto"/>
        <w:ind w:firstLineChars="0"/>
        <w:jc w:val="center"/>
        <w:outlineLvl w:val="0"/>
        <w:rPr>
          <w:rFonts w:cs="Times New Roman" w:asciiTheme="minorEastAsia" w:hAnsiTheme="minorEastAsia" w:eastAsiaTheme="minorEastAsia"/>
          <w:b/>
          <w:color w:val="auto"/>
          <w:kern w:val="2"/>
          <w:sz w:val="32"/>
          <w:szCs w:val="32"/>
          <w:highlight w:val="none"/>
        </w:rPr>
      </w:pPr>
      <w:bookmarkStart w:id="109" w:name="_Toc26107"/>
      <w:bookmarkStart w:id="110" w:name="_Toc20566"/>
      <w:bookmarkStart w:id="111" w:name="_Toc4248"/>
      <w:bookmarkStart w:id="112" w:name="_Toc13033"/>
      <w:bookmarkStart w:id="113" w:name="_Toc28471"/>
      <w:bookmarkStart w:id="114" w:name="_Toc1427"/>
      <w:bookmarkStart w:id="115" w:name="_Toc25635"/>
      <w:r>
        <w:rPr>
          <w:rFonts w:hint="eastAsia" w:cs="Times New Roman" w:asciiTheme="minorEastAsia" w:hAnsiTheme="minorEastAsia" w:eastAsiaTheme="minorEastAsia"/>
          <w:b/>
          <w:color w:val="auto"/>
          <w:kern w:val="2"/>
          <w:sz w:val="32"/>
          <w:szCs w:val="32"/>
          <w:highlight w:val="none"/>
        </w:rPr>
        <w:t>商务技术自评表</w:t>
      </w:r>
      <w:bookmarkEnd w:id="109"/>
      <w:bookmarkEnd w:id="110"/>
      <w:bookmarkEnd w:id="111"/>
      <w:bookmarkEnd w:id="112"/>
      <w:bookmarkEnd w:id="113"/>
      <w:bookmarkEnd w:id="114"/>
      <w:bookmarkEnd w:id="115"/>
    </w:p>
    <w:tbl>
      <w:tblPr>
        <w:tblStyle w:val="47"/>
        <w:tblW w:w="10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44"/>
        <w:gridCol w:w="5567"/>
        <w:gridCol w:w="709"/>
        <w:gridCol w:w="70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r>
              <w:rPr>
                <w:rFonts w:hint="eastAsia" w:cs="宋体" w:asciiTheme="minorEastAsia" w:hAnsiTheme="minorEastAsia" w:eastAsiaTheme="minorEastAsia"/>
                <w:b/>
                <w:color w:val="auto"/>
                <w:spacing w:val="20"/>
                <w:szCs w:val="21"/>
                <w:highlight w:val="none"/>
              </w:rPr>
              <w:t>评审项目</w:t>
            </w: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r>
              <w:rPr>
                <w:rFonts w:hint="eastAsia" w:cs="宋体" w:asciiTheme="minorEastAsia" w:hAnsiTheme="minorEastAsia" w:eastAsiaTheme="minorEastAsia"/>
                <w:b/>
                <w:color w:val="auto"/>
                <w:spacing w:val="20"/>
                <w:szCs w:val="21"/>
                <w:highlight w:val="none"/>
              </w:rPr>
              <w:t>评审细则</w:t>
            </w: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r>
              <w:rPr>
                <w:rFonts w:hint="eastAsia" w:cs="宋体" w:asciiTheme="minorEastAsia" w:hAnsiTheme="minorEastAsia" w:eastAsiaTheme="minorEastAsia"/>
                <w:b/>
                <w:color w:val="auto"/>
                <w:spacing w:val="20"/>
                <w:szCs w:val="21"/>
                <w:highlight w:val="none"/>
              </w:rPr>
              <w:t>分值</w:t>
            </w: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r>
              <w:rPr>
                <w:rFonts w:hint="eastAsia" w:cs="宋体" w:asciiTheme="minorEastAsia" w:hAnsiTheme="minorEastAsia" w:eastAsiaTheme="minorEastAsia"/>
                <w:b/>
                <w:color w:val="auto"/>
                <w:spacing w:val="20"/>
                <w:szCs w:val="21"/>
                <w:highlight w:val="none"/>
              </w:rPr>
              <w:t>自评分</w:t>
            </w: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r>
              <w:rPr>
                <w:rFonts w:hint="eastAsia" w:cs="宋体" w:asciiTheme="minorEastAsia" w:hAnsiTheme="minorEastAsia" w:eastAsiaTheme="minorEastAsia"/>
                <w:b/>
                <w:color w:val="auto"/>
                <w:spacing w:val="20"/>
                <w:szCs w:val="21"/>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2"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1"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eastAsiaTheme="minorEastAsia"/>
                <w:b/>
                <w:color w:val="auto"/>
                <w:spacing w:val="20"/>
                <w:szCs w:val="21"/>
                <w:highlight w:val="none"/>
              </w:rPr>
            </w:pPr>
          </w:p>
        </w:tc>
      </w:tr>
    </w:tbl>
    <w:p>
      <w:pPr>
        <w:spacing w:afterLines="50" w:line="360" w:lineRule="auto"/>
        <w:jc w:val="center"/>
        <w:outlineLvl w:val="0"/>
        <w:rPr>
          <w:rFonts w:asciiTheme="minorEastAsia" w:hAnsiTheme="minorEastAsia" w:eastAsiaTheme="minorEastAsia"/>
          <w:b/>
          <w:color w:val="auto"/>
          <w:sz w:val="32"/>
          <w:szCs w:val="32"/>
          <w:highlight w:val="none"/>
        </w:rPr>
        <w:sectPr>
          <w:pgSz w:w="11906" w:h="16838"/>
          <w:pgMar w:top="907" w:right="1134" w:bottom="907" w:left="1134" w:header="851" w:footer="992" w:gutter="0"/>
          <w:cols w:space="720" w:num="1"/>
          <w:docGrid w:type="lines" w:linePitch="312" w:charSpace="0"/>
        </w:sectPr>
      </w:pPr>
    </w:p>
    <w:p>
      <w:pPr>
        <w:spacing w:afterLines="50" w:line="360" w:lineRule="auto"/>
        <w:jc w:val="center"/>
        <w:outlineLvl w:val="0"/>
        <w:rPr>
          <w:rFonts w:asciiTheme="minorEastAsia" w:hAnsiTheme="minorEastAsia" w:eastAsiaTheme="minorEastAsia"/>
          <w:b/>
          <w:color w:val="auto"/>
          <w:sz w:val="32"/>
          <w:szCs w:val="32"/>
          <w:highlight w:val="none"/>
        </w:rPr>
      </w:pPr>
      <w:bookmarkStart w:id="116" w:name="_Toc8155"/>
      <w:bookmarkStart w:id="117" w:name="_Toc15162"/>
      <w:bookmarkStart w:id="118" w:name="_Toc5952"/>
      <w:bookmarkStart w:id="119" w:name="_Toc10969"/>
      <w:bookmarkStart w:id="120" w:name="_Toc2650"/>
      <w:bookmarkStart w:id="121" w:name="_Toc25271"/>
      <w:bookmarkStart w:id="122" w:name="_Toc29896"/>
      <w:r>
        <w:rPr>
          <w:rFonts w:hint="eastAsia" w:asciiTheme="minorEastAsia" w:hAnsiTheme="minorEastAsia" w:eastAsiaTheme="minorEastAsia"/>
          <w:b/>
          <w:color w:val="auto"/>
          <w:sz w:val="32"/>
          <w:szCs w:val="32"/>
          <w:highlight w:val="none"/>
        </w:rPr>
        <w:t>二、供应商基本情况表</w:t>
      </w:r>
      <w:bookmarkEnd w:id="116"/>
      <w:bookmarkEnd w:id="117"/>
      <w:bookmarkEnd w:id="118"/>
      <w:bookmarkEnd w:id="119"/>
      <w:bookmarkEnd w:id="120"/>
      <w:bookmarkEnd w:id="121"/>
      <w:bookmarkEnd w:id="122"/>
    </w:p>
    <w:tbl>
      <w:tblPr>
        <w:tblStyle w:val="47"/>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15"/>
        <w:gridCol w:w="1062"/>
        <w:gridCol w:w="762"/>
        <w:gridCol w:w="2347"/>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bookmarkStart w:id="123" w:name="_Toc11379"/>
            <w:bookmarkStart w:id="124" w:name="_Toc14297"/>
            <w:bookmarkStart w:id="125" w:name="_Toc5320"/>
            <w:bookmarkStart w:id="126" w:name="_Toc4427"/>
            <w:bookmarkStart w:id="127" w:name="_Toc5966"/>
            <w:bookmarkStart w:id="128" w:name="_Toc20172"/>
            <w:r>
              <w:rPr>
                <w:rFonts w:hint="eastAsia" w:ascii="Times New Roman" w:hAnsi="Times New Roman" w:cs="宋体"/>
                <w:color w:val="auto"/>
                <w:szCs w:val="21"/>
                <w:highlight w:val="none"/>
              </w:rPr>
              <w:t>单位名称</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组织机构代码</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注册地址</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注册登记号</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经营地址</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税务登记证号</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单位性质</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注册资本</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经营范围</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营业期限</w:t>
            </w:r>
          </w:p>
        </w:tc>
        <w:tc>
          <w:tcPr>
            <w:tcW w:w="2453"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资质情况</w:t>
            </w:r>
          </w:p>
        </w:tc>
        <w:tc>
          <w:tcPr>
            <w:tcW w:w="7539" w:type="dxa"/>
            <w:gridSpan w:val="5"/>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员工数量</w:t>
            </w:r>
          </w:p>
        </w:tc>
        <w:tc>
          <w:tcPr>
            <w:tcW w:w="7539" w:type="dxa"/>
            <w:gridSpan w:val="5"/>
            <w:vAlign w:val="center"/>
          </w:tcPr>
          <w:p>
            <w:pPr>
              <w:spacing w:line="360" w:lineRule="exact"/>
              <w:rPr>
                <w:rFonts w:ascii="Times New Roman" w:hAnsi="Times New Roman" w:cs="宋体"/>
                <w:color w:val="auto"/>
                <w:szCs w:val="21"/>
                <w:highlight w:val="none"/>
              </w:rPr>
            </w:pPr>
            <w:r>
              <w:rPr>
                <w:rFonts w:hint="eastAsia" w:ascii="Times New Roman" w:hAnsi="Times New Roman" w:cs="宋体"/>
                <w:color w:val="auto"/>
                <w:szCs w:val="21"/>
                <w:highlight w:val="none"/>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联系电话</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传真</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主要业绩</w:t>
            </w:r>
          </w:p>
        </w:tc>
        <w:tc>
          <w:tcPr>
            <w:tcW w:w="7539" w:type="dxa"/>
            <w:gridSpan w:val="5"/>
            <w:vAlign w:val="center"/>
          </w:tcPr>
          <w:p>
            <w:pPr>
              <w:spacing w:line="360" w:lineRule="exact"/>
              <w:rPr>
                <w:rFonts w:ascii="Times New Roman" w:hAnsi="Times New Roman" w:cs="宋体"/>
                <w:color w:val="auto"/>
                <w:szCs w:val="21"/>
                <w:highlight w:val="none"/>
              </w:rPr>
            </w:pPr>
          </w:p>
          <w:p>
            <w:pPr>
              <w:spacing w:line="360" w:lineRule="exact"/>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50" w:type="dxa"/>
            <w:gridSpan w:val="6"/>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姓  名</w:t>
            </w:r>
          </w:p>
        </w:tc>
        <w:tc>
          <w:tcPr>
            <w:tcW w:w="2739" w:type="dxa"/>
            <w:gridSpan w:val="3"/>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身份证号码</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职  务</w:t>
            </w:r>
          </w:p>
        </w:tc>
        <w:tc>
          <w:tcPr>
            <w:tcW w:w="915" w:type="dxa"/>
            <w:vAlign w:val="center"/>
          </w:tcPr>
          <w:p>
            <w:pPr>
              <w:spacing w:line="360" w:lineRule="exact"/>
              <w:jc w:val="center"/>
              <w:rPr>
                <w:rFonts w:ascii="Times New Roman" w:hAnsi="Times New Roman" w:cs="宋体"/>
                <w:color w:val="auto"/>
                <w:szCs w:val="21"/>
                <w:highlight w:val="none"/>
              </w:rPr>
            </w:pPr>
          </w:p>
        </w:tc>
        <w:tc>
          <w:tcPr>
            <w:tcW w:w="1062"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职   称</w:t>
            </w:r>
          </w:p>
        </w:tc>
        <w:tc>
          <w:tcPr>
            <w:tcW w:w="762" w:type="dxa"/>
            <w:vAlign w:val="center"/>
          </w:tcPr>
          <w:p>
            <w:pPr>
              <w:spacing w:line="360" w:lineRule="exact"/>
              <w:jc w:val="center"/>
              <w:rPr>
                <w:rFonts w:ascii="Times New Roman" w:hAnsi="Times New Roman" w:cs="宋体"/>
                <w:color w:val="auto"/>
                <w:szCs w:val="21"/>
                <w:highlight w:val="none"/>
              </w:rPr>
            </w:pPr>
          </w:p>
        </w:tc>
        <w:tc>
          <w:tcPr>
            <w:tcW w:w="2347" w:type="dxa"/>
            <w:vAlign w:val="center"/>
          </w:tcPr>
          <w:p>
            <w:pPr>
              <w:spacing w:line="360" w:lineRule="exact"/>
              <w:jc w:val="center"/>
              <w:rPr>
                <w:rFonts w:ascii="Times New Roman" w:hAnsi="Times New Roman" w:cs="宋体"/>
                <w:color w:val="auto"/>
                <w:szCs w:val="21"/>
                <w:highlight w:val="none"/>
              </w:rPr>
            </w:pPr>
            <w:r>
              <w:rPr>
                <w:rFonts w:hint="eastAsia" w:ascii="Times New Roman" w:hAnsi="Times New Roman" w:cs="宋体"/>
                <w:color w:val="auto"/>
                <w:szCs w:val="21"/>
                <w:highlight w:val="none"/>
              </w:rPr>
              <w:t>学    历</w:t>
            </w:r>
          </w:p>
        </w:tc>
        <w:tc>
          <w:tcPr>
            <w:tcW w:w="2453" w:type="dxa"/>
            <w:vAlign w:val="center"/>
          </w:tcPr>
          <w:p>
            <w:pPr>
              <w:spacing w:line="360" w:lineRule="exact"/>
              <w:jc w:val="center"/>
              <w:rPr>
                <w:rFonts w:ascii="Times New Roman"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50" w:type="dxa"/>
            <w:gridSpan w:val="6"/>
          </w:tcPr>
          <w:p>
            <w:pPr>
              <w:spacing w:line="360" w:lineRule="exact"/>
              <w:rPr>
                <w:rFonts w:ascii="Times New Roman" w:hAnsi="Times New Roman" w:cs="宋体"/>
                <w:color w:val="auto"/>
                <w:szCs w:val="21"/>
                <w:highlight w:val="none"/>
              </w:rPr>
            </w:pPr>
            <w:r>
              <w:rPr>
                <w:rFonts w:hint="eastAsia" w:ascii="Times New Roman" w:hAnsi="Times New Roman" w:cs="宋体"/>
                <w:color w:val="auto"/>
                <w:szCs w:val="21"/>
                <w:highlight w:val="none"/>
              </w:rPr>
              <w:t>备注：</w:t>
            </w:r>
          </w:p>
        </w:tc>
      </w:tr>
    </w:tbl>
    <w:p>
      <w:pPr>
        <w:spacing w:beforeLines="50" w:line="360" w:lineRule="auto"/>
        <w:ind w:right="-227" w:rightChars="-108"/>
        <w:rPr>
          <w:rFonts w:cs="宋体"/>
          <w:b/>
          <w:color w:val="auto"/>
          <w:szCs w:val="21"/>
          <w:highlight w:val="none"/>
        </w:rPr>
      </w:pPr>
      <w:r>
        <w:rPr>
          <w:rFonts w:hint="eastAsia" w:cs="宋体"/>
          <w:b/>
          <w:color w:val="auto"/>
          <w:szCs w:val="21"/>
          <w:highlight w:val="none"/>
        </w:rPr>
        <w:t>兹证明上述声明是真实、正确的，并提供了全部能提供的资料和数据，我们同意遵照贵方要求出示有关证明文件。</w:t>
      </w:r>
    </w:p>
    <w:p>
      <w:pPr>
        <w:pStyle w:val="12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投标人名称（盖公章）：</w:t>
      </w:r>
    </w:p>
    <w:p>
      <w:pPr>
        <w:pStyle w:val="12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法定代表人或授权委托代理人（签字或盖章）：</w:t>
      </w:r>
    </w:p>
    <w:p>
      <w:pPr>
        <w:pStyle w:val="12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w:t>
      </w:r>
      <w:r>
        <w:rPr>
          <w:rFonts w:asciiTheme="minorEastAsia" w:hAnsiTheme="minorEastAsia" w:eastAsiaTheme="minorEastAsia"/>
          <w:color w:val="auto"/>
          <w:szCs w:val="21"/>
          <w:highlight w:val="none"/>
        </w:rPr>
        <w:t xml:space="preserve">  年    月   日</w:t>
      </w:r>
    </w:p>
    <w:p>
      <w:pPr>
        <w:pStyle w:val="120"/>
        <w:spacing w:line="360" w:lineRule="auto"/>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三、证书一览表</w:t>
      </w:r>
    </w:p>
    <w:tbl>
      <w:tblPr>
        <w:tblStyle w:val="4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top w:val="single" w:color="auto" w:sz="4" w:space="0"/>
              <w:left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证书名称</w:t>
            </w:r>
          </w:p>
        </w:tc>
        <w:tc>
          <w:tcPr>
            <w:tcW w:w="2258" w:type="dxa"/>
            <w:tcBorders>
              <w:top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发证单位</w:t>
            </w:r>
          </w:p>
        </w:tc>
        <w:tc>
          <w:tcPr>
            <w:tcW w:w="2260" w:type="dxa"/>
            <w:tcBorders>
              <w:top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证书等级</w:t>
            </w:r>
          </w:p>
        </w:tc>
        <w:tc>
          <w:tcPr>
            <w:tcW w:w="2047" w:type="dxa"/>
            <w:tcBorders>
              <w:top w:val="single" w:color="auto" w:sz="4" w:space="0"/>
              <w:bottom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top w:val="single" w:color="auto" w:sz="4" w:space="0"/>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tcBorders>
              <w:top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tcBorders>
              <w:top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top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58" w:type="dxa"/>
            <w:tcBorders>
              <w:bottom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260" w:type="dxa"/>
            <w:tcBorders>
              <w:bottom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c>
          <w:tcPr>
            <w:tcW w:w="2047" w:type="dxa"/>
            <w:tcBorders>
              <w:bottom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color w:val="auto"/>
                <w:szCs w:val="21"/>
                <w:highlight w:val="none"/>
              </w:rPr>
            </w:pPr>
          </w:p>
        </w:tc>
      </w:tr>
    </w:tbl>
    <w:p>
      <w:pPr>
        <w:pStyle w:val="120"/>
        <w:tabs>
          <w:tab w:val="left" w:pos="1050"/>
        </w:tabs>
        <w:spacing w:line="360" w:lineRule="auto"/>
        <w:rPr>
          <w:rFonts w:asciiTheme="minorEastAsia" w:hAnsiTheme="minorEastAsia" w:eastAsiaTheme="minorEastAsia"/>
          <w:color w:val="auto"/>
          <w:szCs w:val="21"/>
          <w:highlight w:val="none"/>
        </w:rPr>
      </w:pPr>
    </w:p>
    <w:p>
      <w:pPr>
        <w:pStyle w:val="120"/>
        <w:tabs>
          <w:tab w:val="left" w:pos="1050"/>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要求：</w:t>
      </w:r>
    </w:p>
    <w:p>
      <w:pPr>
        <w:pStyle w:val="120"/>
        <w:tabs>
          <w:tab w:val="left" w:pos="1050"/>
        </w:tabs>
        <w:spacing w:line="360" w:lineRule="auto"/>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1.根据评分标准要求填写投标供应商获得的资质、认证或企业信誉证书等；</w:t>
      </w:r>
    </w:p>
    <w:p>
      <w:pPr>
        <w:pStyle w:val="120"/>
        <w:tabs>
          <w:tab w:val="left" w:pos="1050"/>
        </w:tabs>
        <w:spacing w:line="360" w:lineRule="auto"/>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2.附所列证书扫描件或影印件或其他证明材料。</w:t>
      </w:r>
    </w:p>
    <w:p>
      <w:pPr>
        <w:spacing w:line="360" w:lineRule="auto"/>
        <w:jc w:val="left"/>
        <w:rPr>
          <w:rFonts w:asciiTheme="minorEastAsia" w:hAnsiTheme="minorEastAsia" w:eastAsiaTheme="minorEastAsia"/>
          <w:color w:val="auto"/>
          <w:szCs w:val="21"/>
          <w:highlight w:val="none"/>
        </w:rPr>
      </w:pPr>
    </w:p>
    <w:p>
      <w:pPr>
        <w:spacing w:line="360" w:lineRule="auto"/>
        <w:jc w:val="left"/>
        <w:rPr>
          <w:rFonts w:asciiTheme="minorEastAsia" w:hAnsiTheme="minorEastAsia" w:eastAsiaTheme="minorEastAsia"/>
          <w:color w:val="auto"/>
          <w:szCs w:val="21"/>
          <w:highlight w:val="none"/>
        </w:rPr>
      </w:pPr>
    </w:p>
    <w:p>
      <w:pPr>
        <w:tabs>
          <w:tab w:val="left" w:pos="312"/>
        </w:tabs>
        <w:spacing w:line="480" w:lineRule="auto"/>
        <w:ind w:firstLine="420" w:firstLineChars="200"/>
        <w:jc w:val="righ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投标人名称（盖公章）：</w:t>
      </w:r>
    </w:p>
    <w:p>
      <w:pPr>
        <w:spacing w:line="480" w:lineRule="auto"/>
        <w:ind w:firstLine="371" w:firstLineChars="177"/>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480" w:lineRule="auto"/>
        <w:ind w:firstLine="435"/>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日期：  年    月   日</w:t>
      </w:r>
    </w:p>
    <w:p>
      <w:pPr>
        <w:spacing w:after="100" w:afterAutospacing="1" w:line="360" w:lineRule="auto"/>
        <w:jc w:val="center"/>
        <w:outlineLvl w:val="0"/>
        <w:rPr>
          <w:rFonts w:asciiTheme="minorEastAsia" w:hAnsiTheme="minorEastAsia" w:eastAsiaTheme="minorEastAsia"/>
          <w:b/>
          <w:color w:val="auto"/>
          <w:sz w:val="32"/>
          <w:szCs w:val="32"/>
          <w:highlight w:val="none"/>
        </w:rPr>
      </w:pPr>
    </w:p>
    <w:p>
      <w:pPr>
        <w:pageBreakBefore/>
        <w:spacing w:after="100" w:afterAutospacing="1" w:line="360" w:lineRule="auto"/>
        <w:jc w:val="center"/>
        <w:outlineLvl w:val="0"/>
        <w:rPr>
          <w:rFonts w:asciiTheme="minorEastAsia" w:hAnsiTheme="minorEastAsia" w:eastAsiaTheme="minorEastAsia"/>
          <w:b/>
          <w:color w:val="auto"/>
          <w:sz w:val="32"/>
          <w:szCs w:val="32"/>
          <w:highlight w:val="none"/>
        </w:rPr>
      </w:pPr>
      <w:bookmarkStart w:id="129" w:name="_Toc30960"/>
      <w:r>
        <w:rPr>
          <w:rFonts w:hint="eastAsia" w:asciiTheme="minorEastAsia" w:hAnsiTheme="minorEastAsia" w:eastAsiaTheme="minorEastAsia"/>
          <w:b/>
          <w:color w:val="auto"/>
          <w:sz w:val="32"/>
          <w:szCs w:val="32"/>
          <w:highlight w:val="none"/>
        </w:rPr>
        <w:t>四、</w:t>
      </w:r>
      <w:r>
        <w:rPr>
          <w:rFonts w:asciiTheme="minorEastAsia" w:hAnsiTheme="minorEastAsia" w:eastAsiaTheme="minorEastAsia"/>
          <w:b/>
          <w:color w:val="auto"/>
          <w:sz w:val="32"/>
          <w:szCs w:val="32"/>
          <w:highlight w:val="none"/>
        </w:rPr>
        <w:t>技术规范偏离表</w:t>
      </w:r>
      <w:bookmarkEnd w:id="123"/>
      <w:bookmarkEnd w:id="124"/>
      <w:bookmarkEnd w:id="125"/>
      <w:bookmarkEnd w:id="126"/>
      <w:bookmarkEnd w:id="127"/>
      <w:bookmarkEnd w:id="128"/>
      <w:bookmarkEnd w:id="129"/>
    </w:p>
    <w:p>
      <w:pPr>
        <w:spacing w:after="100" w:afterAutospacing="1" w:line="360" w:lineRule="auto"/>
        <w:outlineLvl w:val="0"/>
        <w:rPr>
          <w:rFonts w:ascii="Times New Roman" w:hAnsi="Times New Roman" w:cs="宋体"/>
          <w:color w:val="auto"/>
          <w:szCs w:val="21"/>
          <w:highlight w:val="none"/>
        </w:rPr>
      </w:pPr>
      <w:bookmarkStart w:id="130" w:name="_Toc9730"/>
      <w:r>
        <w:rPr>
          <w:rFonts w:hint="eastAsia" w:ascii="Times New Roman" w:hAnsi="Times New Roman" w:cs="宋体"/>
          <w:color w:val="auto"/>
          <w:szCs w:val="21"/>
          <w:highlight w:val="none"/>
        </w:rPr>
        <w:t xml:space="preserve">项目编号：                                                </w:t>
      </w:r>
      <w:r>
        <w:rPr>
          <w:rFonts w:ascii="Times New Roman" w:hAnsi="Times New Roman" w:cs="宋体"/>
          <w:color w:val="auto"/>
          <w:szCs w:val="21"/>
          <w:highlight w:val="none"/>
        </w:rPr>
        <w:t xml:space="preserve"> 项目名称：</w:t>
      </w:r>
      <w:bookmarkEnd w:id="130"/>
    </w:p>
    <w:tbl>
      <w:tblPr>
        <w:tblStyle w:val="47"/>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3768"/>
        <w:gridCol w:w="3768"/>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bottom w:val="single" w:color="auto" w:sz="4" w:space="0"/>
            </w:tcBorders>
            <w:tcMar>
              <w:left w:w="0" w:type="dxa"/>
              <w:right w:w="0" w:type="dxa"/>
            </w:tcMar>
            <w:vAlign w:val="center"/>
          </w:tcPr>
          <w:p>
            <w:pPr>
              <w:pStyle w:val="3"/>
              <w:spacing w:line="340" w:lineRule="exact"/>
              <w:ind w:firstLine="105" w:firstLineChars="50"/>
              <w:contextualSpacing/>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序号</w:t>
            </w:r>
          </w:p>
        </w:tc>
        <w:tc>
          <w:tcPr>
            <w:tcW w:w="3768"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《采购文件》中的技术要求</w:t>
            </w:r>
          </w:p>
        </w:tc>
        <w:tc>
          <w:tcPr>
            <w:tcW w:w="3768"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《投标文件》技术条款响应</w:t>
            </w:r>
          </w:p>
        </w:tc>
        <w:tc>
          <w:tcPr>
            <w:tcW w:w="995"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3768" w:type="dxa"/>
            <w:tcBorders>
              <w:top w:val="single" w:color="auto" w:sz="4" w:space="0"/>
            </w:tcBorders>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3768" w:type="dxa"/>
            <w:tcMar>
              <w:left w:w="0" w:type="dxa"/>
              <w:right w:w="0" w:type="dxa"/>
            </w:tcMar>
            <w:vAlign w:val="center"/>
          </w:tcPr>
          <w:p>
            <w:pPr>
              <w:tabs>
                <w:tab w:val="left" w:pos="851"/>
              </w:tabs>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5</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6</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r>
              <w:rPr>
                <w:rFonts w:ascii="Times New Roman" w:hAnsi="Times New Roman"/>
                <w:color w:val="auto"/>
                <w:szCs w:val="21"/>
                <w:highlight w:val="none"/>
              </w:rPr>
              <w:t>……</w:t>
            </w: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7</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ascii="Times New Roman" w:hAnsi="Times New Roman"/>
                <w:color w:val="auto"/>
                <w:szCs w:val="21"/>
                <w:highlight w:val="none"/>
              </w:rPr>
              <w:t>8</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9</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1</w:t>
            </w:r>
            <w:r>
              <w:rPr>
                <w:rFonts w:ascii="Times New Roman" w:hAnsi="Times New Roman"/>
                <w:color w:val="auto"/>
                <w:szCs w:val="21"/>
                <w:highlight w:val="none"/>
              </w:rPr>
              <w:t>0</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ascii="Times New Roman" w:hAnsi="Times New Roman"/>
                <w:color w:val="auto"/>
                <w:szCs w:val="21"/>
                <w:highlight w:val="none"/>
              </w:rPr>
              <w:t>……</w:t>
            </w:r>
          </w:p>
        </w:tc>
        <w:tc>
          <w:tcPr>
            <w:tcW w:w="3768"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bl>
    <w:p>
      <w:pPr>
        <w:pStyle w:val="3"/>
        <w:ind w:firstLine="0"/>
        <w:rPr>
          <w:rFonts w:eastAsia="宋体"/>
          <w:color w:val="auto"/>
          <w:sz w:val="21"/>
          <w:szCs w:val="21"/>
          <w:highlight w:val="none"/>
        </w:rPr>
      </w:pPr>
      <w:r>
        <w:rPr>
          <w:rFonts w:hint="eastAsia" w:eastAsia="宋体"/>
          <w:color w:val="auto"/>
          <w:sz w:val="21"/>
          <w:szCs w:val="21"/>
          <w:highlight w:val="none"/>
        </w:rPr>
        <w:t>备注：</w:t>
      </w:r>
    </w:p>
    <w:p>
      <w:pPr>
        <w:pStyle w:val="3"/>
        <w:ind w:firstLine="0"/>
        <w:rPr>
          <w:rFonts w:eastAsia="宋体"/>
          <w:color w:val="auto"/>
          <w:sz w:val="21"/>
          <w:szCs w:val="21"/>
          <w:highlight w:val="none"/>
        </w:rPr>
      </w:pPr>
      <w:r>
        <w:rPr>
          <w:rFonts w:hint="eastAsia" w:eastAsia="宋体"/>
          <w:color w:val="auto"/>
          <w:sz w:val="21"/>
          <w:szCs w:val="21"/>
          <w:highlight w:val="none"/>
        </w:rPr>
        <w:t>1、列明采购文件的技术要求与投标文件对应响应，并说明偏离状况（正偏离或负偏离）；</w:t>
      </w:r>
    </w:p>
    <w:p>
      <w:pPr>
        <w:pStyle w:val="3"/>
        <w:ind w:firstLine="0"/>
        <w:rPr>
          <w:rFonts w:eastAsia="宋体"/>
          <w:color w:val="auto"/>
          <w:sz w:val="21"/>
          <w:szCs w:val="21"/>
          <w:highlight w:val="none"/>
        </w:rPr>
      </w:pPr>
      <w:r>
        <w:rPr>
          <w:rFonts w:hint="eastAsia" w:eastAsia="宋体"/>
          <w:color w:val="auto"/>
          <w:sz w:val="21"/>
          <w:szCs w:val="21"/>
          <w:highlight w:val="none"/>
        </w:rPr>
        <w:t>2、无偏离应在本表“说明”处醒目地注明“无条款偏离”的字样。</w:t>
      </w:r>
    </w:p>
    <w:p>
      <w:pPr>
        <w:pStyle w:val="3"/>
        <w:ind w:firstLine="0"/>
        <w:rPr>
          <w:rFonts w:eastAsia="宋体"/>
          <w:color w:val="auto"/>
          <w:sz w:val="21"/>
          <w:szCs w:val="21"/>
          <w:highlight w:val="none"/>
        </w:rPr>
      </w:pPr>
      <w:r>
        <w:rPr>
          <w:rFonts w:hint="eastAsia" w:eastAsia="宋体"/>
          <w:color w:val="auto"/>
          <w:sz w:val="21"/>
          <w:szCs w:val="21"/>
          <w:highlight w:val="none"/>
        </w:rPr>
        <w:t>3、本表格供参考，投标人可根据项目实际情况自拟（增减）表格。</w:t>
      </w:r>
    </w:p>
    <w:p>
      <w:pPr>
        <w:tabs>
          <w:tab w:val="left" w:pos="312"/>
        </w:tabs>
        <w:spacing w:line="480" w:lineRule="auto"/>
        <w:ind w:firstLine="420" w:firstLineChars="200"/>
        <w:jc w:val="righ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投标人名称（盖公章）：</w:t>
      </w:r>
    </w:p>
    <w:p>
      <w:pPr>
        <w:spacing w:line="480" w:lineRule="auto"/>
        <w:ind w:firstLine="371" w:firstLineChars="177"/>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480" w:lineRule="auto"/>
        <w:ind w:firstLine="435"/>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日期：  年    月   日</w:t>
      </w:r>
    </w:p>
    <w:p>
      <w:pPr>
        <w:pageBreakBefore/>
        <w:spacing w:after="100" w:afterAutospacing="1" w:line="360" w:lineRule="auto"/>
        <w:jc w:val="center"/>
        <w:outlineLvl w:val="0"/>
        <w:rPr>
          <w:rFonts w:asciiTheme="minorEastAsia" w:hAnsiTheme="minorEastAsia" w:eastAsiaTheme="minorEastAsia"/>
          <w:b/>
          <w:color w:val="auto"/>
          <w:sz w:val="32"/>
          <w:szCs w:val="32"/>
          <w:highlight w:val="none"/>
        </w:rPr>
      </w:pPr>
      <w:bookmarkStart w:id="131" w:name="_Toc3100"/>
      <w:bookmarkStart w:id="132" w:name="_Toc22735"/>
      <w:bookmarkStart w:id="133" w:name="_Toc9606"/>
      <w:bookmarkStart w:id="134" w:name="_Toc14058"/>
      <w:bookmarkStart w:id="135" w:name="_Toc7232"/>
      <w:bookmarkStart w:id="136" w:name="_Toc4688"/>
      <w:bookmarkStart w:id="137" w:name="_Toc18229"/>
      <w:r>
        <w:rPr>
          <w:rFonts w:hint="eastAsia" w:asciiTheme="minorEastAsia" w:hAnsiTheme="minorEastAsia" w:eastAsiaTheme="minorEastAsia"/>
          <w:b/>
          <w:color w:val="auto"/>
          <w:sz w:val="32"/>
          <w:szCs w:val="32"/>
          <w:highlight w:val="none"/>
        </w:rPr>
        <w:t>五、</w:t>
      </w:r>
      <w:r>
        <w:rPr>
          <w:rFonts w:asciiTheme="minorEastAsia" w:hAnsiTheme="minorEastAsia" w:eastAsiaTheme="minorEastAsia"/>
          <w:b/>
          <w:color w:val="auto"/>
          <w:sz w:val="32"/>
          <w:szCs w:val="32"/>
          <w:highlight w:val="none"/>
        </w:rPr>
        <w:t>商务偏离表</w:t>
      </w:r>
      <w:bookmarkEnd w:id="131"/>
      <w:bookmarkEnd w:id="132"/>
      <w:bookmarkEnd w:id="133"/>
      <w:bookmarkEnd w:id="134"/>
      <w:bookmarkEnd w:id="135"/>
      <w:bookmarkEnd w:id="136"/>
      <w:bookmarkEnd w:id="137"/>
    </w:p>
    <w:p>
      <w:pPr>
        <w:pStyle w:val="3"/>
        <w:tabs>
          <w:tab w:val="right" w:pos="8847"/>
        </w:tabs>
        <w:ind w:left="479" w:leftChars="228" w:firstLine="0"/>
        <w:jc w:val="left"/>
        <w:rPr>
          <w:rFonts w:eastAsia="宋体"/>
          <w:color w:val="auto"/>
          <w:sz w:val="21"/>
          <w:szCs w:val="21"/>
          <w:highlight w:val="none"/>
          <w:u w:val="single"/>
        </w:rPr>
      </w:pPr>
      <w:r>
        <w:rPr>
          <w:rFonts w:hint="eastAsia" w:eastAsia="宋体"/>
          <w:color w:val="auto"/>
          <w:sz w:val="21"/>
          <w:szCs w:val="21"/>
          <w:highlight w:val="none"/>
        </w:rPr>
        <w:t>项目编号：                                         项目名称：</w:t>
      </w:r>
    </w:p>
    <w:tbl>
      <w:tblPr>
        <w:tblStyle w:val="47"/>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4450"/>
        <w:gridCol w:w="3086"/>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bottom w:val="single" w:color="auto" w:sz="4" w:space="0"/>
            </w:tcBorders>
            <w:tcMar>
              <w:left w:w="0" w:type="dxa"/>
              <w:right w:w="0" w:type="dxa"/>
            </w:tcMar>
            <w:vAlign w:val="center"/>
          </w:tcPr>
          <w:p>
            <w:pPr>
              <w:pStyle w:val="3"/>
              <w:spacing w:line="340" w:lineRule="exact"/>
              <w:ind w:firstLine="105" w:firstLineChars="50"/>
              <w:contextualSpacing/>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序号</w:t>
            </w:r>
          </w:p>
        </w:tc>
        <w:tc>
          <w:tcPr>
            <w:tcW w:w="4450"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《采购文件》商务条款要求</w:t>
            </w:r>
          </w:p>
        </w:tc>
        <w:tc>
          <w:tcPr>
            <w:tcW w:w="3086"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《投标文件》商务条款响应</w:t>
            </w:r>
          </w:p>
        </w:tc>
        <w:tc>
          <w:tcPr>
            <w:tcW w:w="995" w:type="dxa"/>
            <w:tcBorders>
              <w:top w:val="single" w:color="auto" w:sz="4" w:space="0"/>
              <w:bottom w:val="single" w:color="auto" w:sz="4" w:space="0"/>
            </w:tcBorders>
            <w:tcMar>
              <w:left w:w="0" w:type="dxa"/>
              <w:right w:w="0" w:type="dxa"/>
            </w:tcMar>
            <w:vAlign w:val="center"/>
          </w:tcPr>
          <w:p>
            <w:pPr>
              <w:pStyle w:val="3"/>
              <w:spacing w:line="340" w:lineRule="exact"/>
              <w:ind w:firstLine="0"/>
              <w:contextualSpacing/>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4450" w:type="dxa"/>
            <w:tcBorders>
              <w:top w:val="single" w:color="auto" w:sz="4" w:space="0"/>
            </w:tcBorders>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5</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6</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7</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ascii="Times New Roman" w:hAnsi="Times New Roman"/>
                <w:color w:val="auto"/>
                <w:szCs w:val="21"/>
                <w:highlight w:val="none"/>
              </w:rPr>
              <w:t>8</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9</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hint="eastAsia" w:ascii="Times New Roman" w:hAnsi="Times New Roman"/>
                <w:color w:val="auto"/>
                <w:szCs w:val="21"/>
                <w:highlight w:val="none"/>
              </w:rPr>
              <w:t>1</w:t>
            </w:r>
            <w:r>
              <w:rPr>
                <w:rFonts w:ascii="Times New Roman" w:hAnsi="Times New Roman"/>
                <w:color w:val="auto"/>
                <w:szCs w:val="21"/>
                <w:highlight w:val="none"/>
              </w:rPr>
              <w:t>0</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r>
              <w:rPr>
                <w:rFonts w:ascii="Times New Roman" w:hAnsi="Times New Roman"/>
                <w:color w:val="auto"/>
                <w:szCs w:val="21"/>
                <w:highlight w:val="none"/>
              </w:rPr>
              <w:t>……</w:t>
            </w:r>
          </w:p>
        </w:tc>
        <w:tc>
          <w:tcPr>
            <w:tcW w:w="4450" w:type="dxa"/>
            <w:tcMar>
              <w:left w:w="0" w:type="dxa"/>
              <w:right w:w="0" w:type="dxa"/>
            </w:tcMar>
            <w:vAlign w:val="center"/>
          </w:tcPr>
          <w:p>
            <w:pPr>
              <w:spacing w:line="340" w:lineRule="exact"/>
              <w:contextualSpacing/>
              <w:rPr>
                <w:rFonts w:ascii="Times New Roman" w:hAnsi="Times New Roman"/>
                <w:color w:val="auto"/>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color w:val="auto"/>
                <w:szCs w:val="21"/>
                <w:highlight w:val="none"/>
              </w:rPr>
            </w:pPr>
          </w:p>
        </w:tc>
      </w:tr>
    </w:tbl>
    <w:p>
      <w:pPr>
        <w:pStyle w:val="3"/>
        <w:ind w:firstLine="0"/>
        <w:rPr>
          <w:rFonts w:eastAsia="宋体"/>
          <w:color w:val="auto"/>
          <w:sz w:val="21"/>
          <w:szCs w:val="21"/>
          <w:highlight w:val="none"/>
        </w:rPr>
      </w:pPr>
      <w:r>
        <w:rPr>
          <w:rFonts w:hint="eastAsia" w:eastAsia="宋体"/>
          <w:color w:val="auto"/>
          <w:sz w:val="21"/>
          <w:szCs w:val="21"/>
          <w:highlight w:val="none"/>
        </w:rPr>
        <w:t>备注：</w:t>
      </w:r>
    </w:p>
    <w:p>
      <w:pPr>
        <w:pStyle w:val="3"/>
        <w:ind w:firstLine="0"/>
        <w:rPr>
          <w:rFonts w:eastAsia="宋体"/>
          <w:color w:val="auto"/>
          <w:sz w:val="21"/>
          <w:szCs w:val="21"/>
          <w:highlight w:val="none"/>
        </w:rPr>
      </w:pPr>
      <w:r>
        <w:rPr>
          <w:rFonts w:hint="eastAsia" w:eastAsia="宋体"/>
          <w:color w:val="auto"/>
          <w:sz w:val="21"/>
          <w:szCs w:val="21"/>
          <w:highlight w:val="none"/>
        </w:rPr>
        <w:t>1、列明采购文件的商务要求与投标文件对应响应，并说明偏离状况（正偏离或负偏离）；</w:t>
      </w:r>
    </w:p>
    <w:p>
      <w:pPr>
        <w:pStyle w:val="3"/>
        <w:ind w:firstLine="0"/>
        <w:rPr>
          <w:rFonts w:eastAsia="宋体"/>
          <w:color w:val="auto"/>
          <w:sz w:val="21"/>
          <w:szCs w:val="21"/>
          <w:highlight w:val="none"/>
        </w:rPr>
      </w:pPr>
      <w:r>
        <w:rPr>
          <w:rFonts w:hint="eastAsia" w:eastAsia="宋体"/>
          <w:color w:val="auto"/>
          <w:sz w:val="21"/>
          <w:szCs w:val="21"/>
          <w:highlight w:val="none"/>
        </w:rPr>
        <w:t>2、无偏离应在本表“说明”处醒目地注明“无条款偏离”的字样。</w:t>
      </w:r>
    </w:p>
    <w:p>
      <w:pPr>
        <w:pStyle w:val="3"/>
        <w:ind w:firstLine="0"/>
        <w:rPr>
          <w:rFonts w:eastAsia="宋体"/>
          <w:color w:val="auto"/>
          <w:sz w:val="21"/>
          <w:szCs w:val="21"/>
          <w:highlight w:val="none"/>
        </w:rPr>
      </w:pPr>
      <w:r>
        <w:rPr>
          <w:rFonts w:hint="eastAsia" w:eastAsia="宋体"/>
          <w:color w:val="auto"/>
          <w:sz w:val="21"/>
          <w:szCs w:val="21"/>
          <w:highlight w:val="none"/>
        </w:rPr>
        <w:t>3、本表格供参考，投标人可根据项目实际情况自拟（增减）表格。</w:t>
      </w:r>
    </w:p>
    <w:p>
      <w:pPr>
        <w:tabs>
          <w:tab w:val="left" w:pos="312"/>
        </w:tabs>
        <w:spacing w:line="480" w:lineRule="auto"/>
        <w:ind w:firstLine="420" w:firstLineChars="200"/>
        <w:jc w:val="righ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投标人名称（盖公章）：</w:t>
      </w:r>
    </w:p>
    <w:p>
      <w:pPr>
        <w:spacing w:line="480" w:lineRule="auto"/>
        <w:ind w:firstLine="371" w:firstLineChars="177"/>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480" w:lineRule="auto"/>
        <w:ind w:firstLine="435"/>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日期：  年    月   日</w:t>
      </w:r>
    </w:p>
    <w:p>
      <w:pPr>
        <w:pageBreakBefore/>
        <w:spacing w:line="360" w:lineRule="auto"/>
        <w:jc w:val="center"/>
        <w:outlineLvl w:val="0"/>
        <w:rPr>
          <w:rFonts w:asciiTheme="minorEastAsia" w:hAnsiTheme="minorEastAsia" w:eastAsiaTheme="minorEastAsia"/>
          <w:color w:val="auto"/>
          <w:sz w:val="32"/>
          <w:szCs w:val="32"/>
          <w:highlight w:val="none"/>
        </w:rPr>
      </w:pPr>
      <w:bookmarkStart w:id="138" w:name="_Toc20733"/>
      <w:bookmarkStart w:id="139" w:name="_Toc19473"/>
      <w:bookmarkStart w:id="140" w:name="_Toc21753"/>
      <w:bookmarkStart w:id="141" w:name="_Toc31566"/>
      <w:bookmarkStart w:id="142" w:name="_Toc2665"/>
      <w:bookmarkStart w:id="143" w:name="_Toc19019"/>
      <w:bookmarkStart w:id="144" w:name="_Toc15797"/>
      <w:r>
        <w:rPr>
          <w:rFonts w:hint="eastAsia" w:asciiTheme="minorEastAsia" w:hAnsiTheme="minorEastAsia" w:eastAsiaTheme="minorEastAsia"/>
          <w:b/>
          <w:color w:val="auto"/>
          <w:sz w:val="32"/>
          <w:szCs w:val="32"/>
          <w:highlight w:val="none"/>
        </w:rPr>
        <w:t>六、</w:t>
      </w:r>
      <w:r>
        <w:rPr>
          <w:rFonts w:asciiTheme="minorEastAsia" w:hAnsiTheme="minorEastAsia" w:eastAsiaTheme="minorEastAsia"/>
          <w:b/>
          <w:color w:val="auto"/>
          <w:sz w:val="32"/>
          <w:szCs w:val="32"/>
          <w:highlight w:val="none"/>
        </w:rPr>
        <w:t>相关项目实施业绩一览表</w:t>
      </w:r>
      <w:bookmarkEnd w:id="138"/>
      <w:bookmarkEnd w:id="139"/>
      <w:bookmarkEnd w:id="140"/>
      <w:bookmarkEnd w:id="141"/>
      <w:bookmarkEnd w:id="142"/>
      <w:bookmarkEnd w:id="143"/>
      <w:bookmarkEnd w:id="144"/>
    </w:p>
    <w:tbl>
      <w:tblPr>
        <w:tblStyle w:val="47"/>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83"/>
        <w:gridCol w:w="2306"/>
        <w:gridCol w:w="1774"/>
        <w:gridCol w:w="124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727" w:type="dxa"/>
            <w:vAlign w:val="center"/>
          </w:tcPr>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序号</w:t>
            </w:r>
          </w:p>
        </w:tc>
        <w:tc>
          <w:tcPr>
            <w:tcW w:w="1783" w:type="dxa"/>
            <w:vAlign w:val="center"/>
          </w:tcPr>
          <w:p>
            <w:pPr>
              <w:spacing w:line="0" w:lineRule="atLeast"/>
              <w:jc w:val="center"/>
              <w:rPr>
                <w:rFonts w:ascii="Times New Roman" w:hAnsi="Times New Roman"/>
                <w:color w:val="auto"/>
                <w:szCs w:val="21"/>
                <w:highlight w:val="none"/>
              </w:rPr>
            </w:pPr>
            <w:r>
              <w:rPr>
                <w:rFonts w:hint="eastAsia" w:ascii="Times New Roman" w:hAnsi="Times New Roman"/>
                <w:color w:val="auto"/>
                <w:szCs w:val="21"/>
                <w:highlight w:val="none"/>
              </w:rPr>
              <w:t>项目名称</w:t>
            </w:r>
          </w:p>
        </w:tc>
        <w:tc>
          <w:tcPr>
            <w:tcW w:w="2306" w:type="dxa"/>
            <w:vAlign w:val="center"/>
          </w:tcPr>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采购单位名称</w:t>
            </w:r>
          </w:p>
        </w:tc>
        <w:tc>
          <w:tcPr>
            <w:tcW w:w="1774" w:type="dxa"/>
            <w:vAlign w:val="center"/>
          </w:tcPr>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合同金额</w:t>
            </w:r>
          </w:p>
        </w:tc>
        <w:tc>
          <w:tcPr>
            <w:tcW w:w="1242" w:type="dxa"/>
            <w:vAlign w:val="center"/>
          </w:tcPr>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合同签订</w:t>
            </w:r>
          </w:p>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时间</w:t>
            </w:r>
          </w:p>
        </w:tc>
        <w:tc>
          <w:tcPr>
            <w:tcW w:w="1643" w:type="dxa"/>
            <w:vAlign w:val="center"/>
          </w:tcPr>
          <w:p>
            <w:pPr>
              <w:spacing w:line="0" w:lineRule="atLeast"/>
              <w:ind w:left="-115" w:right="-107"/>
              <w:jc w:val="center"/>
              <w:rPr>
                <w:rFonts w:ascii="Times New Roman" w:hAnsi="Times New Roman"/>
                <w:color w:val="auto"/>
                <w:szCs w:val="21"/>
                <w:highlight w:val="none"/>
              </w:rPr>
            </w:pPr>
            <w:r>
              <w:rPr>
                <w:rFonts w:hint="eastAsia" w:ascii="Times New Roman" w:hAnsi="Times New Roman"/>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w:t>
            </w: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eastAsiaTheme="minorEastAsia"/>
                <w:color w:val="auto"/>
                <w:szCs w:val="21"/>
                <w:highlight w:val="none"/>
              </w:rPr>
            </w:pPr>
          </w:p>
        </w:tc>
        <w:tc>
          <w:tcPr>
            <w:tcW w:w="1783" w:type="dxa"/>
            <w:vAlign w:val="center"/>
          </w:tcPr>
          <w:p>
            <w:pPr>
              <w:spacing w:line="360" w:lineRule="auto"/>
              <w:jc w:val="center"/>
              <w:rPr>
                <w:rFonts w:asciiTheme="minorEastAsia" w:hAnsiTheme="minorEastAsia" w:eastAsiaTheme="minorEastAsia"/>
                <w:color w:val="auto"/>
                <w:szCs w:val="21"/>
                <w:highlight w:val="none"/>
              </w:rPr>
            </w:pPr>
          </w:p>
        </w:tc>
        <w:tc>
          <w:tcPr>
            <w:tcW w:w="2306" w:type="dxa"/>
            <w:vAlign w:val="center"/>
          </w:tcPr>
          <w:p>
            <w:pPr>
              <w:spacing w:line="360" w:lineRule="auto"/>
              <w:jc w:val="center"/>
              <w:rPr>
                <w:rFonts w:asciiTheme="minorEastAsia" w:hAnsiTheme="minorEastAsia" w:eastAsiaTheme="minorEastAsia"/>
                <w:color w:val="auto"/>
                <w:szCs w:val="21"/>
                <w:highlight w:val="none"/>
              </w:rPr>
            </w:pPr>
          </w:p>
        </w:tc>
        <w:tc>
          <w:tcPr>
            <w:tcW w:w="1774" w:type="dxa"/>
            <w:vAlign w:val="center"/>
          </w:tcPr>
          <w:p>
            <w:pPr>
              <w:spacing w:line="360" w:lineRule="auto"/>
              <w:jc w:val="center"/>
              <w:rPr>
                <w:rFonts w:asciiTheme="minorEastAsia" w:hAnsiTheme="minorEastAsia" w:eastAsiaTheme="minorEastAsia"/>
                <w:color w:val="auto"/>
                <w:szCs w:val="21"/>
                <w:highlight w:val="none"/>
              </w:rPr>
            </w:pPr>
          </w:p>
        </w:tc>
        <w:tc>
          <w:tcPr>
            <w:tcW w:w="1242" w:type="dxa"/>
            <w:vAlign w:val="center"/>
          </w:tcPr>
          <w:p>
            <w:pPr>
              <w:spacing w:line="360" w:lineRule="auto"/>
              <w:jc w:val="center"/>
              <w:rPr>
                <w:rFonts w:asciiTheme="minorEastAsia" w:hAnsiTheme="minorEastAsia" w:eastAsiaTheme="minorEastAsia"/>
                <w:color w:val="auto"/>
                <w:szCs w:val="21"/>
                <w:highlight w:val="none"/>
              </w:rPr>
            </w:pPr>
          </w:p>
        </w:tc>
        <w:tc>
          <w:tcPr>
            <w:tcW w:w="1643" w:type="dxa"/>
            <w:vAlign w:val="center"/>
          </w:tcPr>
          <w:p>
            <w:pPr>
              <w:spacing w:line="360" w:lineRule="auto"/>
              <w:jc w:val="center"/>
              <w:rPr>
                <w:rFonts w:asciiTheme="minorEastAsia" w:hAnsiTheme="minorEastAsia" w:eastAsiaTheme="minorEastAsia"/>
                <w:color w:val="auto"/>
                <w:szCs w:val="21"/>
                <w:highlight w:val="none"/>
              </w:rPr>
            </w:pPr>
          </w:p>
        </w:tc>
      </w:tr>
    </w:tbl>
    <w:p>
      <w:pPr>
        <w:spacing w:before="77" w:line="360" w:lineRule="auto"/>
        <w:ind w:right="6"/>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注：需</w:t>
      </w:r>
      <w:r>
        <w:rPr>
          <w:rFonts w:hint="eastAsia" w:asciiTheme="minorEastAsia" w:hAnsiTheme="minorEastAsia" w:eastAsiaTheme="minorEastAsia"/>
          <w:b/>
          <w:color w:val="auto"/>
          <w:szCs w:val="21"/>
          <w:highlight w:val="none"/>
        </w:rPr>
        <w:t>按评分标准要求附项目证明材料。</w:t>
      </w:r>
    </w:p>
    <w:p>
      <w:pPr>
        <w:spacing w:line="360" w:lineRule="auto"/>
        <w:ind w:firstLine="3885" w:firstLineChars="1850"/>
        <w:rPr>
          <w:rFonts w:asciiTheme="minorEastAsia" w:hAnsiTheme="minorEastAsia" w:eastAsiaTheme="minorEastAsia"/>
          <w:color w:val="auto"/>
          <w:szCs w:val="21"/>
          <w:highlight w:val="none"/>
        </w:rPr>
      </w:pPr>
    </w:p>
    <w:p>
      <w:pPr>
        <w:tabs>
          <w:tab w:val="left" w:pos="312"/>
        </w:tabs>
        <w:spacing w:line="480" w:lineRule="auto"/>
        <w:ind w:firstLine="420" w:firstLineChars="200"/>
        <w:jc w:val="righ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投标人名称（盖公章）：</w:t>
      </w:r>
    </w:p>
    <w:p>
      <w:pPr>
        <w:spacing w:line="480" w:lineRule="auto"/>
        <w:ind w:firstLine="371" w:firstLineChars="177"/>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法定代表人或授权委托代理人（签字或盖章）：</w:t>
      </w:r>
    </w:p>
    <w:p>
      <w:pPr>
        <w:spacing w:line="480" w:lineRule="auto"/>
        <w:ind w:firstLine="435"/>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日期：  年    月   日</w:t>
      </w:r>
    </w:p>
    <w:p>
      <w:pPr>
        <w:pStyle w:val="27"/>
        <w:rPr>
          <w:rFonts w:asciiTheme="minorEastAsia" w:hAnsiTheme="minorEastAsia" w:eastAsiaTheme="minorEastAsia"/>
          <w:color w:val="auto"/>
          <w:sz w:val="24"/>
          <w:highlight w:val="none"/>
        </w:rPr>
      </w:pPr>
    </w:p>
    <w:p>
      <w:pPr>
        <w:rPr>
          <w:rFonts w:asciiTheme="minorEastAsia" w:hAnsiTheme="minorEastAsia" w:eastAsiaTheme="minorEastAsia"/>
          <w:color w:val="auto"/>
          <w:highlight w:val="none"/>
        </w:rPr>
      </w:pPr>
    </w:p>
    <w:p>
      <w:pPr>
        <w:pStyle w:val="21"/>
        <w:rPr>
          <w:rFonts w:asciiTheme="minorEastAsia" w:hAnsiTheme="minorEastAsia" w:eastAsiaTheme="minorEastAsia"/>
          <w:color w:val="auto"/>
          <w:highlight w:val="none"/>
        </w:rPr>
      </w:pPr>
    </w:p>
    <w:p>
      <w:pPr>
        <w:pStyle w:val="27"/>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131"/>
        <w:snapToGrid w:val="0"/>
        <w:spacing w:after="156" w:line="480" w:lineRule="exact"/>
        <w:ind w:firstLine="422" w:firstLineChars="200"/>
        <w:rPr>
          <w:rFonts w:hint="default" w:ascii="仿宋" w:hAnsi="仿宋"/>
          <w:b/>
          <w:color w:val="auto"/>
          <w:szCs w:val="24"/>
          <w:highlight w:val="none"/>
        </w:rPr>
      </w:pPr>
    </w:p>
    <w:p>
      <w:pPr>
        <w:pStyle w:val="131"/>
        <w:snapToGrid w:val="0"/>
        <w:spacing w:after="156" w:line="480" w:lineRule="exact"/>
        <w:ind w:firstLine="422" w:firstLineChars="200"/>
        <w:rPr>
          <w:rFonts w:hint="default" w:ascii="仿宋" w:hAnsi="仿宋"/>
          <w:b/>
          <w:color w:val="auto"/>
          <w:szCs w:val="24"/>
          <w:highlight w:val="none"/>
        </w:rPr>
      </w:pPr>
    </w:p>
    <w:p>
      <w:pPr>
        <w:pStyle w:val="131"/>
        <w:pageBreakBefore/>
        <w:widowControl w:val="0"/>
        <w:snapToGrid w:val="0"/>
        <w:spacing w:after="156" w:line="480" w:lineRule="exact"/>
        <w:ind w:firstLine="422" w:firstLineChars="200"/>
        <w:rPr>
          <w:rFonts w:hint="default" w:ascii="仿宋" w:hAnsi="仿宋"/>
          <w:b/>
          <w:color w:val="auto"/>
          <w:szCs w:val="24"/>
          <w:highlight w:val="none"/>
          <w:lang w:val="en-GB"/>
        </w:rPr>
      </w:pPr>
      <w:r>
        <w:rPr>
          <w:rFonts w:ascii="仿宋" w:hAnsi="仿宋"/>
          <w:b/>
          <w:color w:val="auto"/>
          <w:szCs w:val="24"/>
          <w:highlight w:val="none"/>
        </w:rPr>
        <w:t>(参加本项目采购活动的供应商须填写“政府采购活动现场确认声明书”，并在开标后30分钟内将扫描件发送至代理机构邮箱</w:t>
      </w:r>
      <w:r>
        <w:rPr>
          <w:color w:val="auto"/>
          <w:highlight w:val="none"/>
        </w:rPr>
        <w:fldChar w:fldCharType="begin"/>
      </w:r>
      <w:r>
        <w:rPr>
          <w:color w:val="auto"/>
          <w:highlight w:val="none"/>
        </w:rPr>
        <w:instrText xml:space="preserve"> HYPERLINK "mailto:zgtzfgs@163.com" </w:instrText>
      </w:r>
      <w:r>
        <w:rPr>
          <w:color w:val="auto"/>
          <w:highlight w:val="none"/>
        </w:rPr>
        <w:fldChar w:fldCharType="separate"/>
      </w:r>
      <w:r>
        <w:rPr>
          <w:rFonts w:asciiTheme="minorEastAsia" w:hAnsiTheme="minorEastAsia" w:eastAsiaTheme="minorEastAsia"/>
          <w:b/>
          <w:color w:val="auto"/>
          <w:szCs w:val="21"/>
          <w:highlight w:val="none"/>
        </w:rPr>
        <w:t>zgtzfgs@163.com</w:t>
      </w:r>
      <w:r>
        <w:rPr>
          <w:rFonts w:asciiTheme="minorEastAsia" w:hAnsiTheme="minorEastAsia" w:eastAsiaTheme="minorEastAsia"/>
          <w:b/>
          <w:color w:val="auto"/>
          <w:szCs w:val="21"/>
          <w:highlight w:val="none"/>
        </w:rPr>
        <w:fldChar w:fldCharType="end"/>
      </w:r>
      <w:r>
        <w:rPr>
          <w:rFonts w:ascii="仿宋" w:hAnsi="仿宋"/>
          <w:b/>
          <w:color w:val="auto"/>
          <w:szCs w:val="24"/>
          <w:highlight w:val="none"/>
        </w:rPr>
        <w:t>)</w:t>
      </w:r>
    </w:p>
    <w:p>
      <w:pPr>
        <w:pStyle w:val="46"/>
        <w:ind w:firstLine="210"/>
        <w:rPr>
          <w:rFonts w:asciiTheme="minorEastAsia" w:hAnsiTheme="minorEastAsia" w:eastAsiaTheme="minorEastAsia"/>
          <w:color w:val="auto"/>
          <w:highlight w:val="none"/>
          <w:lang w:val="en-GB"/>
        </w:rPr>
      </w:pPr>
    </w:p>
    <w:p>
      <w:pPr>
        <w:pStyle w:val="131"/>
        <w:widowControl w:val="0"/>
        <w:snapToGrid w:val="0"/>
        <w:spacing w:line="500" w:lineRule="exact"/>
        <w:ind w:firstLine="720"/>
        <w:jc w:val="center"/>
        <w:rPr>
          <w:rFonts w:hint="default" w:asciiTheme="minorEastAsia" w:hAnsiTheme="minorEastAsia" w:eastAsiaTheme="minorEastAsia"/>
          <w:b/>
          <w:color w:val="auto"/>
          <w:sz w:val="32"/>
          <w:szCs w:val="32"/>
          <w:highlight w:val="none"/>
        </w:rPr>
      </w:pPr>
      <w:r>
        <w:rPr>
          <w:rFonts w:asciiTheme="minorEastAsia" w:hAnsiTheme="minorEastAsia" w:eastAsiaTheme="minorEastAsia"/>
          <w:b/>
          <w:color w:val="auto"/>
          <w:sz w:val="32"/>
          <w:szCs w:val="32"/>
          <w:highlight w:val="none"/>
        </w:rPr>
        <w:t>政府采购活动现场确认声明书</w:t>
      </w:r>
    </w:p>
    <w:p>
      <w:pPr>
        <w:pStyle w:val="131"/>
        <w:widowControl w:val="0"/>
        <w:snapToGrid w:val="0"/>
        <w:spacing w:line="440" w:lineRule="exact"/>
        <w:jc w:val="both"/>
        <w:rPr>
          <w:rFonts w:hint="default" w:asciiTheme="minorEastAsia" w:hAnsiTheme="minorEastAsia" w:eastAsiaTheme="minorEastAsia"/>
          <w:b/>
          <w:color w:val="auto"/>
          <w:szCs w:val="21"/>
          <w:highlight w:val="none"/>
        </w:rPr>
      </w:pPr>
      <w:r>
        <w:rPr>
          <w:rFonts w:asciiTheme="minorEastAsia" w:hAnsiTheme="minorEastAsia" w:eastAsiaTheme="minorEastAsia"/>
          <w:color w:val="auto"/>
          <w:kern w:val="0"/>
          <w:szCs w:val="21"/>
          <w:highlight w:val="none"/>
          <w:u w:val="single"/>
        </w:rPr>
        <w:t>中冠工程管理咨询有限公司</w:t>
      </w:r>
      <w:r>
        <w:rPr>
          <w:rFonts w:asciiTheme="minorEastAsia" w:hAnsiTheme="minorEastAsia" w:eastAsiaTheme="minorEastAsia"/>
          <w:color w:val="auto"/>
          <w:kern w:val="0"/>
          <w:szCs w:val="21"/>
          <w:highlight w:val="none"/>
        </w:rPr>
        <w:t>：</w:t>
      </w:r>
    </w:p>
    <w:p>
      <w:pPr>
        <w:pStyle w:val="131"/>
        <w:widowControl w:val="0"/>
        <w:snapToGrid w:val="0"/>
        <w:spacing w:line="440" w:lineRule="exact"/>
        <w:ind w:firstLine="444" w:firstLineChars="200"/>
        <w:jc w:val="both"/>
        <w:rPr>
          <w:rFonts w:hint="default" w:asciiTheme="minorEastAsia" w:hAnsiTheme="minorEastAsia" w:eastAsiaTheme="minorEastAsia"/>
          <w:color w:val="auto"/>
          <w:spacing w:val="6"/>
          <w:szCs w:val="21"/>
          <w:highlight w:val="none"/>
        </w:rPr>
      </w:pPr>
      <w:r>
        <w:rPr>
          <w:rFonts w:asciiTheme="minorEastAsia" w:hAnsiTheme="minorEastAsia" w:eastAsiaTheme="minorEastAsia"/>
          <w:color w:val="auto"/>
          <w:spacing w:val="6"/>
          <w:szCs w:val="21"/>
          <w:highlight w:val="none"/>
        </w:rPr>
        <w:t>本人经由</w:t>
      </w:r>
      <w:r>
        <w:rPr>
          <w:rFonts w:asciiTheme="minorEastAsia" w:hAnsiTheme="minorEastAsia" w:eastAsiaTheme="minorEastAsia"/>
          <w:color w:val="auto"/>
          <w:spacing w:val="6"/>
          <w:szCs w:val="21"/>
          <w:highlight w:val="none"/>
          <w:u w:val="single"/>
        </w:rPr>
        <w:t>（单位）</w:t>
      </w:r>
      <w:r>
        <w:rPr>
          <w:rFonts w:asciiTheme="minorEastAsia" w:hAnsiTheme="minorEastAsia" w:eastAsiaTheme="minorEastAsia"/>
          <w:color w:val="auto"/>
          <w:spacing w:val="6"/>
          <w:szCs w:val="21"/>
          <w:highlight w:val="none"/>
        </w:rPr>
        <w:t>法人代表（负责人）</w:t>
      </w:r>
      <w:r>
        <w:rPr>
          <w:rFonts w:asciiTheme="minorEastAsia" w:hAnsiTheme="minorEastAsia" w:eastAsiaTheme="minorEastAsia"/>
          <w:color w:val="auto"/>
          <w:spacing w:val="6"/>
          <w:szCs w:val="21"/>
          <w:highlight w:val="none"/>
          <w:u w:val="single"/>
        </w:rPr>
        <w:t>（姓名）</w:t>
      </w:r>
      <w:r>
        <w:rPr>
          <w:rFonts w:asciiTheme="minorEastAsia" w:hAnsiTheme="minorEastAsia" w:eastAsiaTheme="minorEastAsia"/>
          <w:color w:val="auto"/>
          <w:spacing w:val="6"/>
          <w:szCs w:val="21"/>
          <w:highlight w:val="none"/>
        </w:rPr>
        <w:t>合法授权参加项目（编号：）政府采购活动，经与本单位法人代表（负责人）联系确认，现就有关公平竞争事项郑重声明如下：</w:t>
      </w:r>
    </w:p>
    <w:p>
      <w:pPr>
        <w:pStyle w:val="132"/>
        <w:widowControl/>
        <w:numPr>
          <w:ilvl w:val="0"/>
          <w:numId w:val="10"/>
        </w:numPr>
        <w:snapToGrid w:val="0"/>
        <w:spacing w:line="440" w:lineRule="exact"/>
        <w:ind w:firstLine="396" w:firstLineChars="189"/>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本单位与采购人之间</w:t>
      </w:r>
      <w:r>
        <w:rPr>
          <w:rFonts w:cs="宋体"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不存在利害关系</w:t>
      </w:r>
      <w:r>
        <w:rPr>
          <w:rFonts w:cs="宋体"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存在下列利害关系：</w:t>
      </w:r>
    </w:p>
    <w:p>
      <w:pPr>
        <w:pStyle w:val="132"/>
        <w:widowControl/>
        <w:snapToGrid w:val="0"/>
        <w:spacing w:line="440" w:lineRule="exact"/>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 xml:space="preserve">  A.投资关系    B.行政隶属关系    C.业务指导关系</w:t>
      </w:r>
    </w:p>
    <w:p>
      <w:pPr>
        <w:pStyle w:val="132"/>
        <w:widowControl/>
        <w:snapToGrid w:val="0"/>
        <w:spacing w:line="440" w:lineRule="exact"/>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 xml:space="preserve">  D.其他可能</w:t>
      </w:r>
      <w:r>
        <w:rPr>
          <w:rFonts w:asciiTheme="minorEastAsia" w:hAnsiTheme="minorEastAsia" w:eastAsiaTheme="minorEastAsia"/>
          <w:color w:val="auto"/>
          <w:szCs w:val="21"/>
          <w:highlight w:val="none"/>
        </w:rPr>
        <w:t>影响采购公正的</w:t>
      </w:r>
      <w:r>
        <w:rPr>
          <w:rFonts w:asciiTheme="minorEastAsia" w:hAnsiTheme="minorEastAsia" w:eastAsiaTheme="minorEastAsia"/>
          <w:color w:val="auto"/>
          <w:kern w:val="0"/>
          <w:szCs w:val="21"/>
          <w:highlight w:val="none"/>
        </w:rPr>
        <w:t>利害关系</w:t>
      </w:r>
      <w:r>
        <w:rPr>
          <w:rFonts w:asciiTheme="minorEastAsia" w:hAnsiTheme="minorEastAsia" w:eastAsiaTheme="minorEastAsia"/>
          <w:color w:val="auto"/>
          <w:kern w:val="0"/>
          <w:szCs w:val="21"/>
          <w:highlight w:val="none"/>
          <w:u w:val="single"/>
        </w:rPr>
        <w:t>（如有，请如实说明）</w:t>
      </w:r>
      <w:r>
        <w:rPr>
          <w:rFonts w:asciiTheme="minorEastAsia" w:hAnsiTheme="minorEastAsia" w:eastAsiaTheme="minorEastAsia"/>
          <w:color w:val="auto"/>
          <w:kern w:val="0"/>
          <w:szCs w:val="21"/>
          <w:highlight w:val="none"/>
        </w:rPr>
        <w:t>。</w:t>
      </w:r>
    </w:p>
    <w:p>
      <w:pPr>
        <w:pStyle w:val="132"/>
        <w:widowControl/>
        <w:snapToGrid w:val="0"/>
        <w:spacing w:line="440" w:lineRule="exact"/>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spacing w:val="6"/>
          <w:szCs w:val="21"/>
          <w:highlight w:val="none"/>
        </w:rPr>
        <w:t>二、</w:t>
      </w:r>
      <w:r>
        <w:rPr>
          <w:rFonts w:asciiTheme="minorEastAsia" w:hAnsiTheme="minorEastAsia" w:eastAsiaTheme="minorEastAsia"/>
          <w:color w:val="auto"/>
          <w:kern w:val="0"/>
          <w:szCs w:val="21"/>
          <w:highlight w:val="none"/>
        </w:rPr>
        <w:t>现已清楚知道参加本项目采购活动的其他所有供应商名称，本单位</w:t>
      </w:r>
      <w:r>
        <w:rPr>
          <w:rFonts w:cs="宋体" w:asciiTheme="minorEastAsia" w:hAnsiTheme="minorEastAsia" w:eastAsiaTheme="minorEastAsia"/>
          <w:color w:val="auto"/>
          <w:kern w:val="0"/>
          <w:szCs w:val="21"/>
          <w:highlight w:val="none"/>
        </w:rPr>
        <w:t>□与其他所有供应商之间均</w:t>
      </w:r>
      <w:r>
        <w:rPr>
          <w:rFonts w:asciiTheme="minorEastAsia" w:hAnsiTheme="minorEastAsia" w:eastAsiaTheme="minorEastAsia"/>
          <w:color w:val="auto"/>
          <w:kern w:val="0"/>
          <w:szCs w:val="21"/>
          <w:highlight w:val="none"/>
        </w:rPr>
        <w:t>不存在利害关系</w:t>
      </w:r>
      <w:r>
        <w:rPr>
          <w:rFonts w:cs="宋体" w:asciiTheme="minorEastAsia" w:hAnsiTheme="minorEastAsia" w:eastAsiaTheme="minorEastAsia"/>
          <w:color w:val="auto"/>
          <w:kern w:val="0"/>
          <w:szCs w:val="21"/>
          <w:highlight w:val="none"/>
        </w:rPr>
        <w:t>□与</w:t>
      </w:r>
      <w:r>
        <w:rPr>
          <w:rFonts w:cs="宋体" w:asciiTheme="minorEastAsia" w:hAnsiTheme="minorEastAsia" w:eastAsiaTheme="minorEastAsia"/>
          <w:color w:val="auto"/>
          <w:kern w:val="0"/>
          <w:szCs w:val="21"/>
          <w:highlight w:val="none"/>
          <w:u w:val="single"/>
        </w:rPr>
        <w:t xml:space="preserve">           （供应商名称）</w:t>
      </w:r>
      <w:r>
        <w:rPr>
          <w:rFonts w:cs="宋体" w:asciiTheme="minorEastAsia" w:hAnsiTheme="minorEastAsia" w:eastAsiaTheme="minorEastAsia"/>
          <w:color w:val="auto"/>
          <w:kern w:val="0"/>
          <w:szCs w:val="21"/>
          <w:highlight w:val="none"/>
        </w:rPr>
        <w:t>之间</w:t>
      </w:r>
      <w:r>
        <w:rPr>
          <w:rFonts w:asciiTheme="minorEastAsia" w:hAnsiTheme="minorEastAsia" w:eastAsiaTheme="minorEastAsia"/>
          <w:color w:val="auto"/>
          <w:kern w:val="0"/>
          <w:szCs w:val="21"/>
          <w:highlight w:val="none"/>
        </w:rPr>
        <w:t>存在下列利害关系：</w:t>
      </w:r>
    </w:p>
    <w:p>
      <w:pPr>
        <w:pStyle w:val="131"/>
        <w:widowControl w:val="0"/>
        <w:snapToGrid w:val="0"/>
        <w:spacing w:line="440" w:lineRule="exact"/>
        <w:jc w:val="both"/>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 xml:space="preserve">  A.法定代表人或负责人或实际控制人是同一人；</w:t>
      </w:r>
    </w:p>
    <w:p>
      <w:pPr>
        <w:pStyle w:val="131"/>
        <w:widowControl w:val="0"/>
        <w:snapToGrid w:val="0"/>
        <w:spacing w:line="440" w:lineRule="exact"/>
        <w:jc w:val="both"/>
        <w:rPr>
          <w:rFonts w:hint="default" w:asciiTheme="minorEastAsia" w:hAnsiTheme="minorEastAsia" w:eastAsiaTheme="minorEastAsia"/>
          <w:color w:val="auto"/>
          <w:spacing w:val="6"/>
          <w:szCs w:val="21"/>
          <w:highlight w:val="none"/>
        </w:rPr>
      </w:pPr>
      <w:r>
        <w:rPr>
          <w:rFonts w:asciiTheme="minorEastAsia" w:hAnsiTheme="minorEastAsia" w:eastAsiaTheme="minorEastAsia"/>
          <w:color w:val="auto"/>
          <w:kern w:val="0"/>
          <w:szCs w:val="21"/>
          <w:highlight w:val="none"/>
        </w:rPr>
        <w:t xml:space="preserve">  B.法定代表人或负责人或实际控制人是夫妻关系；</w:t>
      </w:r>
    </w:p>
    <w:p>
      <w:pPr>
        <w:pStyle w:val="131"/>
        <w:widowControl w:val="0"/>
        <w:snapToGrid w:val="0"/>
        <w:spacing w:line="440" w:lineRule="exact"/>
        <w:jc w:val="both"/>
        <w:rPr>
          <w:rFonts w:hint="default" w:asciiTheme="minorEastAsia" w:hAnsiTheme="minorEastAsia" w:eastAsiaTheme="minorEastAsia"/>
          <w:color w:val="auto"/>
          <w:spacing w:val="6"/>
          <w:szCs w:val="21"/>
          <w:highlight w:val="none"/>
        </w:rPr>
      </w:pPr>
      <w:r>
        <w:rPr>
          <w:rFonts w:asciiTheme="minorEastAsia" w:hAnsiTheme="minorEastAsia" w:eastAsiaTheme="minorEastAsia"/>
          <w:color w:val="auto"/>
          <w:kern w:val="0"/>
          <w:szCs w:val="21"/>
          <w:highlight w:val="none"/>
        </w:rPr>
        <w:t xml:space="preserve">  C.法定代表人或负责人或实际控制人是直系血亲关系；</w:t>
      </w:r>
    </w:p>
    <w:p>
      <w:pPr>
        <w:pStyle w:val="131"/>
        <w:widowControl w:val="0"/>
        <w:snapToGrid w:val="0"/>
        <w:spacing w:line="440" w:lineRule="exact"/>
        <w:jc w:val="both"/>
        <w:rPr>
          <w:rFonts w:hint="default" w:asciiTheme="minorEastAsia" w:hAnsiTheme="minorEastAsia" w:eastAsiaTheme="minorEastAsia"/>
          <w:color w:val="auto"/>
          <w:spacing w:val="6"/>
          <w:szCs w:val="21"/>
          <w:highlight w:val="none"/>
        </w:rPr>
      </w:pPr>
      <w:r>
        <w:rPr>
          <w:rFonts w:asciiTheme="minorEastAsia" w:hAnsiTheme="minorEastAsia" w:eastAsiaTheme="minorEastAsia"/>
          <w:color w:val="auto"/>
          <w:kern w:val="0"/>
          <w:szCs w:val="21"/>
          <w:highlight w:val="none"/>
        </w:rPr>
        <w:t xml:space="preserve">  D.法定代表人或负责人或实际控制人存在三代以内旁系血亲关系；</w:t>
      </w:r>
    </w:p>
    <w:p>
      <w:pPr>
        <w:pStyle w:val="131"/>
        <w:widowControl w:val="0"/>
        <w:snapToGrid w:val="0"/>
        <w:spacing w:line="440" w:lineRule="exact"/>
        <w:jc w:val="both"/>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 xml:space="preserve">  E.法定代表人或负责人或实际控制人存在近姻亲关系；</w:t>
      </w:r>
    </w:p>
    <w:p>
      <w:pPr>
        <w:pStyle w:val="131"/>
        <w:widowControl w:val="0"/>
        <w:snapToGrid w:val="0"/>
        <w:spacing w:line="440" w:lineRule="exact"/>
        <w:jc w:val="both"/>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 xml:space="preserve">  F.法定代表人或负责人或实际控制人存在股份控制或实际控制关系；</w:t>
      </w:r>
    </w:p>
    <w:p>
      <w:pPr>
        <w:pStyle w:val="131"/>
        <w:widowControl w:val="0"/>
        <w:snapToGrid w:val="0"/>
        <w:spacing w:line="440" w:lineRule="exact"/>
        <w:jc w:val="both"/>
        <w:outlineLvl w:val="0"/>
        <w:rPr>
          <w:rFonts w:hint="default" w:asciiTheme="minorEastAsia" w:hAnsiTheme="minorEastAsia" w:eastAsiaTheme="minorEastAsia"/>
          <w:color w:val="auto"/>
          <w:kern w:val="0"/>
          <w:szCs w:val="21"/>
          <w:highlight w:val="none"/>
        </w:rPr>
      </w:pPr>
      <w:bookmarkStart w:id="145" w:name="_Toc24072"/>
      <w:bookmarkStart w:id="146" w:name="_Toc2857"/>
      <w:bookmarkStart w:id="147" w:name="_Toc9367"/>
      <w:bookmarkStart w:id="148" w:name="_Toc20365"/>
      <w:bookmarkStart w:id="149" w:name="_Toc21795"/>
      <w:bookmarkStart w:id="150" w:name="_Toc15030"/>
      <w:bookmarkStart w:id="151" w:name="_Toc22017"/>
      <w:r>
        <w:rPr>
          <w:rFonts w:asciiTheme="minorEastAsia" w:hAnsiTheme="minorEastAsia" w:eastAsiaTheme="minorEastAsia"/>
          <w:color w:val="auto"/>
          <w:kern w:val="0"/>
          <w:szCs w:val="21"/>
          <w:highlight w:val="none"/>
        </w:rPr>
        <w:t>G.存在共同直接或间接投资设立子公司、联营企业和合营企业情况；</w:t>
      </w:r>
      <w:bookmarkEnd w:id="145"/>
      <w:bookmarkEnd w:id="146"/>
      <w:bookmarkEnd w:id="147"/>
      <w:bookmarkEnd w:id="148"/>
      <w:bookmarkEnd w:id="149"/>
      <w:bookmarkEnd w:id="150"/>
      <w:bookmarkEnd w:id="151"/>
    </w:p>
    <w:p>
      <w:pPr>
        <w:pStyle w:val="131"/>
        <w:widowControl w:val="0"/>
        <w:snapToGrid w:val="0"/>
        <w:spacing w:line="440" w:lineRule="exact"/>
        <w:jc w:val="both"/>
        <w:rPr>
          <w:rFonts w:hint="default" w:asciiTheme="minorEastAsia" w:hAnsiTheme="minorEastAsia" w:eastAsiaTheme="minorEastAsia"/>
          <w:color w:val="auto"/>
          <w:szCs w:val="21"/>
          <w:highlight w:val="none"/>
        </w:rPr>
      </w:pPr>
      <w:r>
        <w:rPr>
          <w:rFonts w:asciiTheme="minorEastAsia" w:hAnsiTheme="minorEastAsia" w:eastAsiaTheme="minorEastAsia"/>
          <w:color w:val="auto"/>
          <w:kern w:val="0"/>
          <w:szCs w:val="21"/>
          <w:highlight w:val="none"/>
        </w:rPr>
        <w:t xml:space="preserve">  H.存在分级代理或代销关系、同一生产制造商关系、</w:t>
      </w:r>
      <w:r>
        <w:rPr>
          <w:rFonts w:asciiTheme="minorEastAsia" w:hAnsiTheme="minorEastAsia" w:eastAsiaTheme="minorEastAsia"/>
          <w:color w:val="auto"/>
          <w:szCs w:val="21"/>
          <w:highlight w:val="none"/>
        </w:rPr>
        <w:t>管理关系、重要业务（占主营业务收入50%以上）或重要财务往来关系（如融资）等其他实质性控制关系；</w:t>
      </w:r>
    </w:p>
    <w:p>
      <w:pPr>
        <w:pStyle w:val="131"/>
        <w:widowControl w:val="0"/>
        <w:snapToGrid w:val="0"/>
        <w:spacing w:line="440" w:lineRule="exact"/>
        <w:jc w:val="both"/>
        <w:rPr>
          <w:rFonts w:hint="default" w:asciiTheme="minorEastAsia" w:hAnsiTheme="minorEastAsia" w:eastAsiaTheme="minorEastAsia"/>
          <w:color w:val="auto"/>
          <w:spacing w:val="6"/>
          <w:szCs w:val="21"/>
          <w:highlight w:val="none"/>
        </w:rPr>
      </w:pPr>
      <w:r>
        <w:rPr>
          <w:rFonts w:asciiTheme="minorEastAsia" w:hAnsiTheme="minorEastAsia" w:eastAsiaTheme="minorEastAsia"/>
          <w:color w:val="auto"/>
          <w:szCs w:val="21"/>
          <w:highlight w:val="none"/>
        </w:rPr>
        <w:t xml:space="preserve">  I</w:t>
      </w:r>
      <w:r>
        <w:rPr>
          <w:rFonts w:asciiTheme="minorEastAsia" w:hAnsiTheme="minorEastAsia" w:eastAsiaTheme="minorEastAsia"/>
          <w:color w:val="auto"/>
          <w:kern w:val="0"/>
          <w:szCs w:val="21"/>
          <w:highlight w:val="none"/>
        </w:rPr>
        <w:t>.</w:t>
      </w:r>
      <w:r>
        <w:rPr>
          <w:rFonts w:asciiTheme="minorEastAsia" w:hAnsiTheme="minorEastAsia" w:eastAsiaTheme="minorEastAsia"/>
          <w:color w:val="auto"/>
          <w:szCs w:val="21"/>
          <w:highlight w:val="none"/>
        </w:rPr>
        <w:t>其他利害关系情况</w:t>
      </w:r>
      <w:r>
        <w:rPr>
          <w:rFonts w:asciiTheme="minorEastAsia" w:hAnsiTheme="minorEastAsia" w:eastAsiaTheme="minorEastAsia"/>
          <w:color w:val="auto"/>
          <w:kern w:val="0"/>
          <w:szCs w:val="21"/>
          <w:highlight w:val="none"/>
        </w:rPr>
        <w:t>。</w:t>
      </w:r>
    </w:p>
    <w:p>
      <w:pPr>
        <w:pStyle w:val="132"/>
        <w:widowControl/>
        <w:numPr>
          <w:ilvl w:val="0"/>
          <w:numId w:val="11"/>
        </w:numPr>
        <w:snapToGrid w:val="0"/>
        <w:spacing w:line="440" w:lineRule="exact"/>
        <w:ind w:firstLine="396" w:firstLineChars="189"/>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szCs w:val="21"/>
          <w:highlight w:val="none"/>
        </w:rPr>
        <w:t>现已清楚知道并</w:t>
      </w:r>
      <w:r>
        <w:rPr>
          <w:rFonts w:asciiTheme="minorEastAsia" w:hAnsiTheme="minorEastAsia" w:eastAsiaTheme="minorEastAsia"/>
          <w:color w:val="auto"/>
          <w:kern w:val="0"/>
          <w:szCs w:val="21"/>
          <w:highlight w:val="none"/>
        </w:rPr>
        <w:t>严格遵守政府采购法律法规和现场纪律。</w:t>
      </w:r>
    </w:p>
    <w:p>
      <w:pPr>
        <w:pStyle w:val="132"/>
        <w:widowControl/>
        <w:numPr>
          <w:ilvl w:val="0"/>
          <w:numId w:val="11"/>
        </w:numPr>
        <w:snapToGrid w:val="0"/>
        <w:spacing w:line="440" w:lineRule="exact"/>
        <w:ind w:firstLine="396" w:firstLineChars="189"/>
        <w:rPr>
          <w:rFonts w:hint="default"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我发现供应商</w:t>
      </w:r>
      <w:r>
        <w:rPr>
          <w:rFonts w:asciiTheme="minorEastAsia" w:hAnsiTheme="minorEastAsia" w:eastAsiaTheme="minorEastAsia"/>
          <w:color w:val="auto"/>
          <w:kern w:val="0"/>
          <w:szCs w:val="21"/>
          <w:highlight w:val="none"/>
          <w:u w:val="single"/>
        </w:rPr>
        <w:t xml:space="preserve">                     之间</w:t>
      </w:r>
      <w:r>
        <w:rPr>
          <w:rFonts w:asciiTheme="minorEastAsia" w:hAnsiTheme="minorEastAsia" w:eastAsiaTheme="minorEastAsia"/>
          <w:color w:val="auto"/>
          <w:kern w:val="0"/>
          <w:szCs w:val="21"/>
          <w:highlight w:val="none"/>
        </w:rPr>
        <w:t>存在或可能存在上述第二条第项利害关系。</w:t>
      </w:r>
    </w:p>
    <w:p>
      <w:pPr>
        <w:pStyle w:val="21"/>
        <w:spacing w:line="440" w:lineRule="exact"/>
        <w:jc w:val="right"/>
        <w:rPr>
          <w:rFonts w:asciiTheme="minorEastAsia" w:hAnsiTheme="minorEastAsia" w:eastAsiaTheme="minorEastAsia"/>
          <w:color w:val="auto"/>
          <w:szCs w:val="21"/>
          <w:highlight w:val="none"/>
        </w:rPr>
      </w:pPr>
    </w:p>
    <w:p>
      <w:pPr>
        <w:pStyle w:val="131"/>
        <w:widowControl w:val="0"/>
        <w:snapToGrid w:val="0"/>
        <w:spacing w:line="440" w:lineRule="exact"/>
        <w:ind w:firstLine="420" w:firstLineChars="200"/>
        <w:jc w:val="right"/>
        <w:rPr>
          <w:rFonts w:hint="default" w:asciiTheme="minorEastAsia" w:hAnsiTheme="minorEastAsia" w:eastAsiaTheme="minorEastAsia"/>
          <w:color w:val="auto"/>
          <w:szCs w:val="21"/>
          <w:highlight w:val="none"/>
        </w:rPr>
      </w:pPr>
    </w:p>
    <w:p>
      <w:pPr>
        <w:pStyle w:val="131"/>
        <w:widowControl w:val="0"/>
        <w:snapToGrid w:val="0"/>
        <w:spacing w:line="440" w:lineRule="exact"/>
        <w:ind w:firstLine="420" w:firstLineChars="200"/>
        <w:jc w:val="right"/>
        <w:rPr>
          <w:rFonts w:hint="default" w:asciiTheme="minorEastAsia" w:hAnsiTheme="minorEastAsia" w:eastAsiaTheme="minorEastAsia"/>
          <w:color w:val="auto"/>
          <w:szCs w:val="21"/>
          <w:highlight w:val="none"/>
        </w:rPr>
      </w:pPr>
    </w:p>
    <w:p>
      <w:pPr>
        <w:pStyle w:val="131"/>
        <w:widowControl w:val="0"/>
        <w:snapToGrid w:val="0"/>
        <w:spacing w:line="440" w:lineRule="exact"/>
        <w:ind w:firstLine="420" w:firstLineChars="200"/>
        <w:jc w:val="right"/>
        <w:rPr>
          <w:rFonts w:hint="default"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（供应商代表签名）：</w:t>
      </w: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
    <w:altName w:val="微软雅黑"/>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1516265919"/>
                          </w:sdtPr>
                          <w:sdtContent>
                            <w:p>
                              <w:pPr>
                                <w:pStyle w:val="31"/>
                                <w:jc w:val="right"/>
                              </w:pPr>
                              <w:r>
                                <w:fldChar w:fldCharType="begin"/>
                              </w:r>
                              <w:r>
                                <w:instrText xml:space="preserve">PAGE   \* MERGEFORMAT</w:instrText>
                              </w:r>
                              <w:r>
                                <w:fldChar w:fldCharType="separate"/>
                              </w:r>
                              <w:r>
                                <w:rPr>
                                  <w:lang w:val="zh-CN"/>
                                </w:rPr>
                                <w:t>5</w:t>
                              </w:r>
                              <w:r>
                                <w:rPr>
                                  <w:lang w:val="zh-CN"/>
                                </w:rPr>
                                <w:fldChar w:fldCharType="end"/>
                              </w:r>
                            </w:p>
                          </w:sdtContent>
                        </w:sd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sdt>
                    <w:sdtPr>
                      <w:id w:val="1516265919"/>
                    </w:sdtPr>
                    <w:sdtContent>
                      <w:p>
                        <w:pPr>
                          <w:pStyle w:val="31"/>
                          <w:jc w:val="right"/>
                        </w:pPr>
                        <w:r>
                          <w:fldChar w:fldCharType="begin"/>
                        </w:r>
                        <w:r>
                          <w:instrText xml:space="preserve">PAGE   \* MERGEFORMAT</w:instrText>
                        </w:r>
                        <w:r>
                          <w:fldChar w:fldCharType="separate"/>
                        </w:r>
                        <w:r>
                          <w:rPr>
                            <w:lang w:val="zh-CN"/>
                          </w:rPr>
                          <w:t>5</w:t>
                        </w:r>
                        <w:r>
                          <w:rPr>
                            <w:lang w:val="zh-CN"/>
                          </w:rPr>
                          <w:fldChar w:fldCharType="end"/>
                        </w:r>
                      </w:p>
                    </w:sdtContent>
                  </w:sdt>
                  <w:p/>
                </w:txbxContent>
              </v:textbox>
            </v:shape>
          </w:pict>
        </mc:Fallback>
      </mc:AlternateConten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4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494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31"/>
                            <w:ind w:firstLine="440"/>
                            <w:jc w:val="right"/>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2.2pt;width:9.5pt;mso-position-horizontal:center;mso-position-horizontal-relative:margin;mso-wrap-style:none;z-index:251660288;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COWqz82gEAAK4DAAAOAAAAZHJzL2Uyb0RvYy54bWytU82O0zAQviPx&#10;DpbvNGnpVhA1XYGqRUgIkBYewHXsxpL/5HGb9AXgDThx4c5z9Tl27CRddveyBy7O2DP+5vs+T9bX&#10;vdHkKAIoZ2s6n5WUCMtdo+y+pt+/3bx6QwlEZhumnRU1PQmg15uXL9adr8TCtU43IhAEsVB1vqZt&#10;jL4qCuCtMAxmzguLSemCYRG3YV80gXWIbnSxKMtV0bnQ+OC4AMDT7ZCkI2J4DqCTUnGxdfxghI0D&#10;ahCaRZQErfJAN5mtlILHL1KCiETXFJXGvGITjHdpLTZrVu0D863iIwX2HAqPNBmmLDa9QG1ZZOQQ&#10;1BMoo3hw4GSccWeKQUh2BFXMy0fe3LbMi6wFrQZ/MR3+Hyz/fPwaiGpquqDEMoMPfv718/z77/nP&#10;D7JM9nQeKqy69VgX+/eux6GZzgEPk+peBpO+qIdgHs09XcwVfSQ8XVqUqyvMcEzNr5Zvl9n84v6y&#10;DxA/CGdICmoa8O2ypez4CSISwdKpJPWy7kZpnd9PW9LVdPUa4R9k8Ia26UTkSRhhkqCBeIpiv+tH&#10;lTvXnFBkh9NQU4vDT4n+aNHsNDhTEKZgNwUHH9S+Rcbz3B38u0NEbply6jDAIv+0wWfMSsaRS3Py&#10;7z5X3f9mm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V+P30QAAAAMBAAAPAAAAAAAAAAEAIAAA&#10;ACIAAABkcnMvZG93bnJldi54bWxQSwECFAAUAAAACACHTuJAjlqs/NoBAACuAwAADgAAAAAAAAAB&#10;ACAAAAAgAQAAZHJzL2Uyb0RvYy54bWxQSwUGAAAAAAYABgBZAQAAbAUAAAAA&#10;">
              <v:fill on="f" focussize="0,0"/>
              <v:stroke on="f" weight="0.5pt"/>
              <v:imagedata o:title=""/>
              <o:lock v:ext="edit" aspectratio="f"/>
              <v:textbox inset="0mm,0mm,0mm,0mm" style="mso-fit-shape-to-text:t;">
                <w:txbxContent>
                  <w:p>
                    <w:pPr>
                      <w:pStyle w:val="31"/>
                      <w:ind w:firstLine="440"/>
                      <w:jc w:val="right"/>
                    </w:pPr>
                    <w:r>
                      <w:fldChar w:fldCharType="begin"/>
                    </w:r>
                    <w:r>
                      <w:instrText xml:space="preserve"> PAGE  \* MERGEFORMAT </w:instrText>
                    </w:r>
                    <w:r>
                      <w:fldChar w:fldCharType="separate"/>
                    </w:r>
                    <w:r>
                      <w:t>24</w:t>
                    </w:r>
                    <w:r>
                      <w:fldChar w:fldCharType="end"/>
                    </w:r>
                  </w:p>
                </w:txbxContent>
              </v:textbox>
            </v:shape>
          </w:pict>
        </mc:Fallback>
      </mc:AlternateContent>
    </w:r>
  </w:p>
  <w:p>
    <w:pPr>
      <w:pStyle w:val="31"/>
      <w:ind w:firstLine="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4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ind w:firstLine="440"/>
                          </w:pPr>
                          <w:r>
                            <w:fldChar w:fldCharType="begin"/>
                          </w:r>
                          <w:r>
                            <w:instrText xml:space="preserve"> PAGE  \* MERGEFORMAT </w:instrText>
                          </w:r>
                          <w:r>
                            <w:fldChar w:fldCharType="separate"/>
                          </w:r>
                          <w:r>
                            <w:t>52</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XHQ7YAQAAsAMAAA4AAABkcnMvZTJvRG9jLnhtbK1TS27bMBDdF8gd&#10;CO5jyU4aGILloIWRoEDRFkh6AJoiLQL8gUNb8gXaG3TVTfc9l8/RISU5RbLJIhtqhjN8M+/NaHXb&#10;G00OIoBytqbzWUmJsNw1yu5q+v3x7nJJCURmG6adFTU9CqC364t3q85XYuFapxsRCIJYqDpf0zZG&#10;XxUF8FYYBjPnhcWgdMGwiG7YFU1gHaIbXSzK8qboXGh8cFwA4O1mCNIRMbwG0EmpuNg4vjfCxgE1&#10;CM0iUoJWeaDr3K2UgsevUoKIRNcUmcZ8YhG0t+ks1itW7QLzreJjC+w1LTzjZJiyWPQMtWGRkX1Q&#10;L6CM4sGBk3HGnSkGIlkRZDEvn2nz0DIvMheUGvxZdHg7WP7l8C0Q1dT0mhLLDA789Ovn6fff058f&#10;5CrJ03moMOvBY17sP7oel2a6B7xMrHsZTPoiH4JxFPd4Flf0kfD0aLlYLksMcYxNDuIXT899gHgv&#10;nCHJqGnA6WVR2eEzxCF1SknVrLtTWucJaku6mt5cvS/zg3MEwbVNuSLvwgiTKA2tJyv2237kuXXN&#10;EWl2uA81tbj+lOhPFuVOqzMZYTK2k7H3Qe1a7Hieq4P/sI/YW245VRhgkWpycJCZ9Lh0aVP+93PW&#10;04+2/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9BcdDtgBAACwAwAADgAAAAAAAAABACAA&#10;AAAfAQAAZHJzL2Uyb0RvYy54bWxQSwUGAAAAAAYABgBZAQAAaQUAAAAA&#10;">
              <v:fill on="f" focussize="0,0"/>
              <v:stroke on="f" weight="0.5pt"/>
              <v:imagedata o:title=""/>
              <o:lock v:ext="edit" aspectratio="f"/>
              <v:textbox inset="0mm,0mm,0mm,0mm" style="mso-fit-shape-to-text:t;">
                <w:txbxContent>
                  <w:p>
                    <w:pPr>
                      <w:pStyle w:val="31"/>
                      <w:ind w:firstLine="440"/>
                    </w:pPr>
                    <w:r>
                      <w:fldChar w:fldCharType="begin"/>
                    </w:r>
                    <w:r>
                      <w:instrText xml:space="preserve"> PAGE  \* MERGEFORMAT </w:instrText>
                    </w:r>
                    <w:r>
                      <w:fldChar w:fldCharType="separate"/>
                    </w:r>
                    <w:r>
                      <w:t>52</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ind w:firstLine="440"/>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31"/>
                      <w:ind w:firstLine="440"/>
                      <w:jc w:val="center"/>
                    </w:pPr>
                  </w:p>
                  <w:p/>
                </w:txbxContent>
              </v:textbox>
            </v:shape>
          </w:pict>
        </mc:Fallback>
      </mc:AlternateContent>
    </w:r>
  </w:p>
  <w:p>
    <w:pPr>
      <w:pStyle w:val="31"/>
      <w:ind w:firstLine="4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58</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lBuHXAQAAsA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uVcWXZhgsmUxtazlYb9MPHc+/aM&#10;NHvcB0Ydrj8l5r1DufPqzEacjf1sHEPUhw47XpbqEN4cE/ZWWs4VRlikmh0cZCE9LV3elL/9kvX4&#10;o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YJQbh1wEAALADAAAOAAAAAAAAAAEAIAAA&#10;AB8BAABkcnMvZTJvRG9jLnhtbFBLBQYAAAAABgAGAFkBAABo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58</w:t>
                    </w:r>
                    <w:r>
                      <w:fldChar w:fldCharType="end"/>
                    </w:r>
                  </w:p>
                </w:txbxContent>
              </v:textbox>
            </v:shape>
          </w:pict>
        </mc:Fallback>
      </mc:AlternateContent>
    </w:r>
  </w:p>
  <w:p>
    <w:pPr>
      <w:pStyle w:val="31"/>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tabs>
        <w:tab w:val="right" w:pos="9813"/>
        <w:tab w:val="clear" w:pos="4153"/>
        <w:tab w:val="clear" w:pos="8306"/>
      </w:tabs>
      <w:ind w:left="-966" w:right="-968"/>
      <w:rPr>
        <w:rFonts w:ascii="宋体" w:hAnsi="宋体"/>
        <w:w w:val="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F8D01"/>
    <w:multiLevelType w:val="singleLevel"/>
    <w:tmpl w:val="8C4F8D01"/>
    <w:lvl w:ilvl="0" w:tentative="0">
      <w:start w:val="1"/>
      <w:numFmt w:val="decimal"/>
      <w:suff w:val="nothing"/>
      <w:lvlText w:val="%1、"/>
      <w:lvlJc w:val="left"/>
    </w:lvl>
  </w:abstractNum>
  <w:abstractNum w:abstractNumId="1">
    <w:nsid w:val="DA069F1E"/>
    <w:multiLevelType w:val="singleLevel"/>
    <w:tmpl w:val="DA069F1E"/>
    <w:lvl w:ilvl="0" w:tentative="0">
      <w:start w:val="1"/>
      <w:numFmt w:val="decimal"/>
      <w:pStyle w:val="14"/>
      <w:lvlText w:val="%1."/>
      <w:lvlJc w:val="left"/>
      <w:pPr>
        <w:tabs>
          <w:tab w:val="left" w:pos="780"/>
        </w:tabs>
        <w:ind w:left="780" w:hanging="360"/>
      </w:pPr>
    </w:lvl>
  </w:abstractNum>
  <w:abstractNum w:abstractNumId="2">
    <w:nsid w:val="DADFD21D"/>
    <w:multiLevelType w:val="singleLevel"/>
    <w:tmpl w:val="DADFD21D"/>
    <w:lvl w:ilvl="0" w:tentative="0">
      <w:start w:val="1"/>
      <w:numFmt w:val="decimal"/>
      <w:pStyle w:val="268"/>
      <w:suff w:val="nothing"/>
      <w:lvlText w:val="%1、"/>
      <w:lvlJc w:val="left"/>
    </w:lvl>
  </w:abstractNum>
  <w:abstractNum w:abstractNumId="3">
    <w:nsid w:val="07A97BC2"/>
    <w:multiLevelType w:val="multilevel"/>
    <w:tmpl w:val="07A97BC2"/>
    <w:lvl w:ilvl="0" w:tentative="0">
      <w:start w:val="1"/>
      <w:numFmt w:val="bullet"/>
      <w:pStyle w:val="272"/>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468D9129"/>
    <w:multiLevelType w:val="singleLevel"/>
    <w:tmpl w:val="468D9129"/>
    <w:lvl w:ilvl="0" w:tentative="0">
      <w:start w:val="1"/>
      <w:numFmt w:val="decimal"/>
      <w:suff w:val="nothing"/>
      <w:lvlText w:val="%1、"/>
      <w:lvlJc w:val="left"/>
    </w:lvl>
  </w:abstractNum>
  <w:abstractNum w:abstractNumId="5">
    <w:nsid w:val="4E3EF080"/>
    <w:multiLevelType w:val="singleLevel"/>
    <w:tmpl w:val="4E3EF080"/>
    <w:lvl w:ilvl="0" w:tentative="0">
      <w:start w:val="1"/>
      <w:numFmt w:val="decimal"/>
      <w:lvlText w:val="%1."/>
      <w:lvlJc w:val="left"/>
      <w:pPr>
        <w:tabs>
          <w:tab w:val="left" w:pos="312"/>
        </w:tabs>
      </w:pPr>
    </w:lvl>
  </w:abstractNum>
  <w:abstractNum w:abstractNumId="6">
    <w:nsid w:val="520C8405"/>
    <w:multiLevelType w:val="singleLevel"/>
    <w:tmpl w:val="520C8405"/>
    <w:lvl w:ilvl="0" w:tentative="0">
      <w:start w:val="1"/>
      <w:numFmt w:val="chineseCounting"/>
      <w:pStyle w:val="265"/>
      <w:suff w:val="nothing"/>
      <w:lvlText w:val="%1、"/>
      <w:lvlJc w:val="left"/>
      <w:rPr>
        <w:rFonts w:hint="eastAsia"/>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5DC2298"/>
    <w:multiLevelType w:val="multilevel"/>
    <w:tmpl w:val="55DC2298"/>
    <w:lvl w:ilvl="0" w:tentative="0">
      <w:start w:val="1"/>
      <w:numFmt w:val="chineseCountingThousand"/>
      <w:pStyle w:val="44"/>
      <w:lvlText w:val="第%1章"/>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7CA93F89"/>
    <w:multiLevelType w:val="multilevel"/>
    <w:tmpl w:val="7CA93F89"/>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6"/>
  </w:num>
  <w:num w:numId="4">
    <w:abstractNumId w:val="2"/>
  </w:num>
  <w:num w:numId="5">
    <w:abstractNumId w:val="3"/>
  </w:num>
  <w:num w:numId="6">
    <w:abstractNumId w:val="0"/>
  </w:num>
  <w:num w:numId="7">
    <w:abstractNumId w:val="4"/>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2NiYTYzOTMwNjRhNjE2ZDRkMDFhMTE0YjZkNTcifQ=="/>
  </w:docVars>
  <w:rsids>
    <w:rsidRoot w:val="00F42B94"/>
    <w:rsid w:val="000044C6"/>
    <w:rsid w:val="00004E7D"/>
    <w:rsid w:val="0002041D"/>
    <w:rsid w:val="00023D21"/>
    <w:rsid w:val="00023E3A"/>
    <w:rsid w:val="00024F27"/>
    <w:rsid w:val="00025B3B"/>
    <w:rsid w:val="000272BF"/>
    <w:rsid w:val="0002734A"/>
    <w:rsid w:val="000303FA"/>
    <w:rsid w:val="00031543"/>
    <w:rsid w:val="00031FF1"/>
    <w:rsid w:val="00032493"/>
    <w:rsid w:val="000329DA"/>
    <w:rsid w:val="00033FAF"/>
    <w:rsid w:val="0003440F"/>
    <w:rsid w:val="00034A15"/>
    <w:rsid w:val="00041935"/>
    <w:rsid w:val="0004250C"/>
    <w:rsid w:val="000447C4"/>
    <w:rsid w:val="00044E85"/>
    <w:rsid w:val="00051171"/>
    <w:rsid w:val="000515CF"/>
    <w:rsid w:val="0005221F"/>
    <w:rsid w:val="000525A0"/>
    <w:rsid w:val="00057655"/>
    <w:rsid w:val="00062441"/>
    <w:rsid w:val="00062E7B"/>
    <w:rsid w:val="00063713"/>
    <w:rsid w:val="000725D0"/>
    <w:rsid w:val="00075589"/>
    <w:rsid w:val="00080445"/>
    <w:rsid w:val="00081011"/>
    <w:rsid w:val="00084226"/>
    <w:rsid w:val="00084F20"/>
    <w:rsid w:val="00086D54"/>
    <w:rsid w:val="00087829"/>
    <w:rsid w:val="00090559"/>
    <w:rsid w:val="0009269F"/>
    <w:rsid w:val="0009417B"/>
    <w:rsid w:val="000957AF"/>
    <w:rsid w:val="000A21E3"/>
    <w:rsid w:val="000A281E"/>
    <w:rsid w:val="000A31AB"/>
    <w:rsid w:val="000A5353"/>
    <w:rsid w:val="000A6BE6"/>
    <w:rsid w:val="000A7AB5"/>
    <w:rsid w:val="000B4522"/>
    <w:rsid w:val="000B5823"/>
    <w:rsid w:val="000C121D"/>
    <w:rsid w:val="000C4E1D"/>
    <w:rsid w:val="000C78F3"/>
    <w:rsid w:val="000D0268"/>
    <w:rsid w:val="000D1F81"/>
    <w:rsid w:val="000D5278"/>
    <w:rsid w:val="000D6668"/>
    <w:rsid w:val="000D7F09"/>
    <w:rsid w:val="000E0D3F"/>
    <w:rsid w:val="000E745A"/>
    <w:rsid w:val="000F2CFB"/>
    <w:rsid w:val="000F2FED"/>
    <w:rsid w:val="000F753C"/>
    <w:rsid w:val="00106871"/>
    <w:rsid w:val="001068E5"/>
    <w:rsid w:val="00113970"/>
    <w:rsid w:val="00115531"/>
    <w:rsid w:val="0012467F"/>
    <w:rsid w:val="00124913"/>
    <w:rsid w:val="001249DF"/>
    <w:rsid w:val="00124E03"/>
    <w:rsid w:val="00126BAF"/>
    <w:rsid w:val="00127235"/>
    <w:rsid w:val="00141C37"/>
    <w:rsid w:val="00141C72"/>
    <w:rsid w:val="00144D6E"/>
    <w:rsid w:val="00150508"/>
    <w:rsid w:val="001535A6"/>
    <w:rsid w:val="00153D99"/>
    <w:rsid w:val="00156755"/>
    <w:rsid w:val="00157FB4"/>
    <w:rsid w:val="0016003C"/>
    <w:rsid w:val="00162879"/>
    <w:rsid w:val="001647C6"/>
    <w:rsid w:val="00164AAD"/>
    <w:rsid w:val="001704D6"/>
    <w:rsid w:val="00172416"/>
    <w:rsid w:val="00176000"/>
    <w:rsid w:val="00176CC4"/>
    <w:rsid w:val="00177BB0"/>
    <w:rsid w:val="001800E2"/>
    <w:rsid w:val="00180F85"/>
    <w:rsid w:val="00182D33"/>
    <w:rsid w:val="00186101"/>
    <w:rsid w:val="00187FC2"/>
    <w:rsid w:val="0019104C"/>
    <w:rsid w:val="00195202"/>
    <w:rsid w:val="001956C2"/>
    <w:rsid w:val="00195846"/>
    <w:rsid w:val="001A44B8"/>
    <w:rsid w:val="001A7117"/>
    <w:rsid w:val="001B018C"/>
    <w:rsid w:val="001B057E"/>
    <w:rsid w:val="001C1DCA"/>
    <w:rsid w:val="001C2573"/>
    <w:rsid w:val="001C6223"/>
    <w:rsid w:val="001C7A2C"/>
    <w:rsid w:val="001C7A91"/>
    <w:rsid w:val="001D1C0E"/>
    <w:rsid w:val="001D6B71"/>
    <w:rsid w:val="001E1F3B"/>
    <w:rsid w:val="001E20DE"/>
    <w:rsid w:val="001E291B"/>
    <w:rsid w:val="001E41F2"/>
    <w:rsid w:val="001E5719"/>
    <w:rsid w:val="001E5FC6"/>
    <w:rsid w:val="001E69A1"/>
    <w:rsid w:val="001F17FE"/>
    <w:rsid w:val="001F1A18"/>
    <w:rsid w:val="00211A93"/>
    <w:rsid w:val="00211B56"/>
    <w:rsid w:val="00213322"/>
    <w:rsid w:val="002137CE"/>
    <w:rsid w:val="00217476"/>
    <w:rsid w:val="002272C8"/>
    <w:rsid w:val="00231B55"/>
    <w:rsid w:val="002356D6"/>
    <w:rsid w:val="00242142"/>
    <w:rsid w:val="00242C32"/>
    <w:rsid w:val="002507EA"/>
    <w:rsid w:val="0025201A"/>
    <w:rsid w:val="00253737"/>
    <w:rsid w:val="00253D22"/>
    <w:rsid w:val="00254DB5"/>
    <w:rsid w:val="002570D2"/>
    <w:rsid w:val="00257E3F"/>
    <w:rsid w:val="00261BE8"/>
    <w:rsid w:val="002620E8"/>
    <w:rsid w:val="002625BC"/>
    <w:rsid w:val="0026420C"/>
    <w:rsid w:val="00267AA7"/>
    <w:rsid w:val="00267F1C"/>
    <w:rsid w:val="002722B2"/>
    <w:rsid w:val="00274300"/>
    <w:rsid w:val="002746DA"/>
    <w:rsid w:val="00277380"/>
    <w:rsid w:val="0027787C"/>
    <w:rsid w:val="00277BFD"/>
    <w:rsid w:val="00280EC2"/>
    <w:rsid w:val="0028388C"/>
    <w:rsid w:val="002838DD"/>
    <w:rsid w:val="002857A1"/>
    <w:rsid w:val="0029051E"/>
    <w:rsid w:val="00290A0C"/>
    <w:rsid w:val="00295357"/>
    <w:rsid w:val="00297B67"/>
    <w:rsid w:val="002A68F3"/>
    <w:rsid w:val="002B6004"/>
    <w:rsid w:val="002C0105"/>
    <w:rsid w:val="002C3455"/>
    <w:rsid w:val="002C5065"/>
    <w:rsid w:val="002C573D"/>
    <w:rsid w:val="002C738A"/>
    <w:rsid w:val="002D232C"/>
    <w:rsid w:val="002D2674"/>
    <w:rsid w:val="002D779E"/>
    <w:rsid w:val="002E0EBD"/>
    <w:rsid w:val="002E241B"/>
    <w:rsid w:val="002E41DD"/>
    <w:rsid w:val="002E4E75"/>
    <w:rsid w:val="002E631F"/>
    <w:rsid w:val="002F062F"/>
    <w:rsid w:val="002F2ECB"/>
    <w:rsid w:val="002F661B"/>
    <w:rsid w:val="002F74D6"/>
    <w:rsid w:val="00302F15"/>
    <w:rsid w:val="00304513"/>
    <w:rsid w:val="003055D7"/>
    <w:rsid w:val="00310C05"/>
    <w:rsid w:val="00313163"/>
    <w:rsid w:val="0031472D"/>
    <w:rsid w:val="003149EA"/>
    <w:rsid w:val="003177C2"/>
    <w:rsid w:val="00317D0C"/>
    <w:rsid w:val="00317D8D"/>
    <w:rsid w:val="0032224E"/>
    <w:rsid w:val="003228EA"/>
    <w:rsid w:val="003232DE"/>
    <w:rsid w:val="00324383"/>
    <w:rsid w:val="003269A6"/>
    <w:rsid w:val="00326DD4"/>
    <w:rsid w:val="00326DE6"/>
    <w:rsid w:val="00330A07"/>
    <w:rsid w:val="0033126E"/>
    <w:rsid w:val="00331DB0"/>
    <w:rsid w:val="00337289"/>
    <w:rsid w:val="00337C2C"/>
    <w:rsid w:val="00346440"/>
    <w:rsid w:val="003504BD"/>
    <w:rsid w:val="0035123E"/>
    <w:rsid w:val="003519A9"/>
    <w:rsid w:val="00353831"/>
    <w:rsid w:val="00354382"/>
    <w:rsid w:val="00354749"/>
    <w:rsid w:val="0035796B"/>
    <w:rsid w:val="003609B1"/>
    <w:rsid w:val="0036350A"/>
    <w:rsid w:val="0036389C"/>
    <w:rsid w:val="00365BDA"/>
    <w:rsid w:val="00370E02"/>
    <w:rsid w:val="003713C2"/>
    <w:rsid w:val="00374306"/>
    <w:rsid w:val="003813FC"/>
    <w:rsid w:val="00385F28"/>
    <w:rsid w:val="003875C5"/>
    <w:rsid w:val="00387B33"/>
    <w:rsid w:val="00391CC3"/>
    <w:rsid w:val="00391EA6"/>
    <w:rsid w:val="00394155"/>
    <w:rsid w:val="003942A0"/>
    <w:rsid w:val="00395CB7"/>
    <w:rsid w:val="003963B5"/>
    <w:rsid w:val="003A0E12"/>
    <w:rsid w:val="003A3B05"/>
    <w:rsid w:val="003A6341"/>
    <w:rsid w:val="003B14F7"/>
    <w:rsid w:val="003B1926"/>
    <w:rsid w:val="003B4A60"/>
    <w:rsid w:val="003C1C96"/>
    <w:rsid w:val="003C3F61"/>
    <w:rsid w:val="003C6E3E"/>
    <w:rsid w:val="003D0637"/>
    <w:rsid w:val="003D23CF"/>
    <w:rsid w:val="003D389C"/>
    <w:rsid w:val="003D4077"/>
    <w:rsid w:val="003D6662"/>
    <w:rsid w:val="003E0AAF"/>
    <w:rsid w:val="003E1977"/>
    <w:rsid w:val="003F2136"/>
    <w:rsid w:val="003F2DBD"/>
    <w:rsid w:val="003F4F19"/>
    <w:rsid w:val="003F6380"/>
    <w:rsid w:val="003F7EA9"/>
    <w:rsid w:val="00401A5F"/>
    <w:rsid w:val="00406ACE"/>
    <w:rsid w:val="00411617"/>
    <w:rsid w:val="00414C3A"/>
    <w:rsid w:val="004168DA"/>
    <w:rsid w:val="00420AFF"/>
    <w:rsid w:val="004221E8"/>
    <w:rsid w:val="0042490D"/>
    <w:rsid w:val="004301EE"/>
    <w:rsid w:val="00430ADD"/>
    <w:rsid w:val="00433E25"/>
    <w:rsid w:val="0043611A"/>
    <w:rsid w:val="004425C5"/>
    <w:rsid w:val="00446139"/>
    <w:rsid w:val="00456841"/>
    <w:rsid w:val="00464FC9"/>
    <w:rsid w:val="00467261"/>
    <w:rsid w:val="00472C47"/>
    <w:rsid w:val="0047423D"/>
    <w:rsid w:val="00480E69"/>
    <w:rsid w:val="00487DF3"/>
    <w:rsid w:val="00490404"/>
    <w:rsid w:val="00490E81"/>
    <w:rsid w:val="004977CB"/>
    <w:rsid w:val="004A12F0"/>
    <w:rsid w:val="004A2219"/>
    <w:rsid w:val="004A2962"/>
    <w:rsid w:val="004A42D8"/>
    <w:rsid w:val="004A458E"/>
    <w:rsid w:val="004A48D8"/>
    <w:rsid w:val="004A6837"/>
    <w:rsid w:val="004A73DF"/>
    <w:rsid w:val="004B4539"/>
    <w:rsid w:val="004B573B"/>
    <w:rsid w:val="004C0A3E"/>
    <w:rsid w:val="004C14C9"/>
    <w:rsid w:val="004C2A8F"/>
    <w:rsid w:val="004C4B33"/>
    <w:rsid w:val="004C6066"/>
    <w:rsid w:val="004C710F"/>
    <w:rsid w:val="004C725B"/>
    <w:rsid w:val="004D5A0C"/>
    <w:rsid w:val="004E206A"/>
    <w:rsid w:val="004E5E2F"/>
    <w:rsid w:val="004F1A04"/>
    <w:rsid w:val="004F3C8E"/>
    <w:rsid w:val="004F538F"/>
    <w:rsid w:val="005002AE"/>
    <w:rsid w:val="00502DE4"/>
    <w:rsid w:val="00514835"/>
    <w:rsid w:val="00516B48"/>
    <w:rsid w:val="00517525"/>
    <w:rsid w:val="00525C8F"/>
    <w:rsid w:val="005317C5"/>
    <w:rsid w:val="00532AD2"/>
    <w:rsid w:val="00544C4F"/>
    <w:rsid w:val="0054717C"/>
    <w:rsid w:val="00553ABE"/>
    <w:rsid w:val="00554490"/>
    <w:rsid w:val="00554CDB"/>
    <w:rsid w:val="0055551D"/>
    <w:rsid w:val="0056261A"/>
    <w:rsid w:val="00563842"/>
    <w:rsid w:val="005708AE"/>
    <w:rsid w:val="00572043"/>
    <w:rsid w:val="00572C95"/>
    <w:rsid w:val="005733D5"/>
    <w:rsid w:val="00574756"/>
    <w:rsid w:val="00576723"/>
    <w:rsid w:val="005771F4"/>
    <w:rsid w:val="00577F99"/>
    <w:rsid w:val="00581C39"/>
    <w:rsid w:val="00583EAB"/>
    <w:rsid w:val="00584495"/>
    <w:rsid w:val="00586EE9"/>
    <w:rsid w:val="00590196"/>
    <w:rsid w:val="005925AE"/>
    <w:rsid w:val="005925F5"/>
    <w:rsid w:val="00592AA9"/>
    <w:rsid w:val="00593681"/>
    <w:rsid w:val="00594BD6"/>
    <w:rsid w:val="00595FB1"/>
    <w:rsid w:val="005969AF"/>
    <w:rsid w:val="005972DE"/>
    <w:rsid w:val="005A174A"/>
    <w:rsid w:val="005A7169"/>
    <w:rsid w:val="005A78A2"/>
    <w:rsid w:val="005B1A53"/>
    <w:rsid w:val="005B4183"/>
    <w:rsid w:val="005C0BE9"/>
    <w:rsid w:val="005D0B93"/>
    <w:rsid w:val="005D0D4C"/>
    <w:rsid w:val="005D0DC2"/>
    <w:rsid w:val="005D1999"/>
    <w:rsid w:val="005D4E6D"/>
    <w:rsid w:val="005D5686"/>
    <w:rsid w:val="005E0B31"/>
    <w:rsid w:val="005E1E55"/>
    <w:rsid w:val="005E66E0"/>
    <w:rsid w:val="005E675D"/>
    <w:rsid w:val="005E7C9A"/>
    <w:rsid w:val="005E7CD1"/>
    <w:rsid w:val="005F0574"/>
    <w:rsid w:val="005F1B6F"/>
    <w:rsid w:val="005F56B9"/>
    <w:rsid w:val="005F58C5"/>
    <w:rsid w:val="00601A1C"/>
    <w:rsid w:val="00604DBE"/>
    <w:rsid w:val="006066D7"/>
    <w:rsid w:val="00606964"/>
    <w:rsid w:val="00610815"/>
    <w:rsid w:val="00616DA5"/>
    <w:rsid w:val="00621DCB"/>
    <w:rsid w:val="00623D7C"/>
    <w:rsid w:val="00625A2E"/>
    <w:rsid w:val="00625B17"/>
    <w:rsid w:val="00626001"/>
    <w:rsid w:val="0063109A"/>
    <w:rsid w:val="00635507"/>
    <w:rsid w:val="00642438"/>
    <w:rsid w:val="0064591D"/>
    <w:rsid w:val="0064698F"/>
    <w:rsid w:val="006469E1"/>
    <w:rsid w:val="00651A29"/>
    <w:rsid w:val="006522EB"/>
    <w:rsid w:val="00660E54"/>
    <w:rsid w:val="00661651"/>
    <w:rsid w:val="00664F13"/>
    <w:rsid w:val="006711DD"/>
    <w:rsid w:val="00671E19"/>
    <w:rsid w:val="00675A83"/>
    <w:rsid w:val="00677E4E"/>
    <w:rsid w:val="006826E2"/>
    <w:rsid w:val="00686166"/>
    <w:rsid w:val="006870EC"/>
    <w:rsid w:val="00690164"/>
    <w:rsid w:val="006938D8"/>
    <w:rsid w:val="006A1419"/>
    <w:rsid w:val="006A21BA"/>
    <w:rsid w:val="006A410B"/>
    <w:rsid w:val="006A42C9"/>
    <w:rsid w:val="006B49B4"/>
    <w:rsid w:val="006B5891"/>
    <w:rsid w:val="006B70E3"/>
    <w:rsid w:val="006C14E1"/>
    <w:rsid w:val="006C240C"/>
    <w:rsid w:val="006C3FB0"/>
    <w:rsid w:val="006C4AD3"/>
    <w:rsid w:val="006D0873"/>
    <w:rsid w:val="006D2AAC"/>
    <w:rsid w:val="006D2C83"/>
    <w:rsid w:val="006E1834"/>
    <w:rsid w:val="006E3A64"/>
    <w:rsid w:val="006E5966"/>
    <w:rsid w:val="006E6AFB"/>
    <w:rsid w:val="006F10F0"/>
    <w:rsid w:val="0070103E"/>
    <w:rsid w:val="00701D18"/>
    <w:rsid w:val="0070240C"/>
    <w:rsid w:val="0070447E"/>
    <w:rsid w:val="007053B8"/>
    <w:rsid w:val="0070592F"/>
    <w:rsid w:val="0070721C"/>
    <w:rsid w:val="007075CA"/>
    <w:rsid w:val="00710058"/>
    <w:rsid w:val="00711234"/>
    <w:rsid w:val="00713030"/>
    <w:rsid w:val="007160FD"/>
    <w:rsid w:val="0072329D"/>
    <w:rsid w:val="007240DF"/>
    <w:rsid w:val="007255F3"/>
    <w:rsid w:val="00731694"/>
    <w:rsid w:val="00732E8F"/>
    <w:rsid w:val="00734B19"/>
    <w:rsid w:val="00734D60"/>
    <w:rsid w:val="0073551A"/>
    <w:rsid w:val="007401DA"/>
    <w:rsid w:val="00742C30"/>
    <w:rsid w:val="00743FE9"/>
    <w:rsid w:val="0074513B"/>
    <w:rsid w:val="00751FAE"/>
    <w:rsid w:val="007522C4"/>
    <w:rsid w:val="007531FB"/>
    <w:rsid w:val="007562E3"/>
    <w:rsid w:val="0076083E"/>
    <w:rsid w:val="007618C8"/>
    <w:rsid w:val="00764FD1"/>
    <w:rsid w:val="00766DA6"/>
    <w:rsid w:val="00773F23"/>
    <w:rsid w:val="0077709A"/>
    <w:rsid w:val="00786122"/>
    <w:rsid w:val="0079254E"/>
    <w:rsid w:val="0079537E"/>
    <w:rsid w:val="007A20FF"/>
    <w:rsid w:val="007A273C"/>
    <w:rsid w:val="007A3536"/>
    <w:rsid w:val="007A595C"/>
    <w:rsid w:val="007C1957"/>
    <w:rsid w:val="007C2328"/>
    <w:rsid w:val="007C32C2"/>
    <w:rsid w:val="007C3D11"/>
    <w:rsid w:val="007C4640"/>
    <w:rsid w:val="007C5CFC"/>
    <w:rsid w:val="007C5F2D"/>
    <w:rsid w:val="007C6213"/>
    <w:rsid w:val="007D0C3B"/>
    <w:rsid w:val="007D2B5D"/>
    <w:rsid w:val="007D48FC"/>
    <w:rsid w:val="007D4BFD"/>
    <w:rsid w:val="007D7A2E"/>
    <w:rsid w:val="007D7DBC"/>
    <w:rsid w:val="007E0254"/>
    <w:rsid w:val="007E0B08"/>
    <w:rsid w:val="007E198F"/>
    <w:rsid w:val="007E6992"/>
    <w:rsid w:val="007F011F"/>
    <w:rsid w:val="007F0317"/>
    <w:rsid w:val="007F0D37"/>
    <w:rsid w:val="007F1FCD"/>
    <w:rsid w:val="007F22DF"/>
    <w:rsid w:val="007F354E"/>
    <w:rsid w:val="0080205A"/>
    <w:rsid w:val="008117CB"/>
    <w:rsid w:val="00814657"/>
    <w:rsid w:val="00814AD5"/>
    <w:rsid w:val="00815A93"/>
    <w:rsid w:val="0082276F"/>
    <w:rsid w:val="008239E5"/>
    <w:rsid w:val="008243A9"/>
    <w:rsid w:val="008251E2"/>
    <w:rsid w:val="008310E7"/>
    <w:rsid w:val="00831724"/>
    <w:rsid w:val="00832CCE"/>
    <w:rsid w:val="00833716"/>
    <w:rsid w:val="00842393"/>
    <w:rsid w:val="00844FC2"/>
    <w:rsid w:val="00850131"/>
    <w:rsid w:val="00851160"/>
    <w:rsid w:val="00851BC3"/>
    <w:rsid w:val="00853B8C"/>
    <w:rsid w:val="00860E07"/>
    <w:rsid w:val="008665A7"/>
    <w:rsid w:val="00874BA3"/>
    <w:rsid w:val="008805F2"/>
    <w:rsid w:val="00883B1D"/>
    <w:rsid w:val="00884BAD"/>
    <w:rsid w:val="008857C7"/>
    <w:rsid w:val="00885AED"/>
    <w:rsid w:val="00891752"/>
    <w:rsid w:val="00891C31"/>
    <w:rsid w:val="00893B62"/>
    <w:rsid w:val="00894E2D"/>
    <w:rsid w:val="0089583E"/>
    <w:rsid w:val="00895CBC"/>
    <w:rsid w:val="008A0DD5"/>
    <w:rsid w:val="008A2FAA"/>
    <w:rsid w:val="008B0DFB"/>
    <w:rsid w:val="008B38B7"/>
    <w:rsid w:val="008B45C2"/>
    <w:rsid w:val="008B5509"/>
    <w:rsid w:val="008B7616"/>
    <w:rsid w:val="008C3614"/>
    <w:rsid w:val="008C7643"/>
    <w:rsid w:val="008D092F"/>
    <w:rsid w:val="008D4142"/>
    <w:rsid w:val="008E0A80"/>
    <w:rsid w:val="008E0D1A"/>
    <w:rsid w:val="008E1A30"/>
    <w:rsid w:val="008E3983"/>
    <w:rsid w:val="008E4BD9"/>
    <w:rsid w:val="008E56B0"/>
    <w:rsid w:val="008E6025"/>
    <w:rsid w:val="008F00B1"/>
    <w:rsid w:val="008F2A14"/>
    <w:rsid w:val="00901CE5"/>
    <w:rsid w:val="00901D20"/>
    <w:rsid w:val="009037A1"/>
    <w:rsid w:val="00903A3E"/>
    <w:rsid w:val="0091275D"/>
    <w:rsid w:val="009137F2"/>
    <w:rsid w:val="00913D22"/>
    <w:rsid w:val="00913F90"/>
    <w:rsid w:val="009163D8"/>
    <w:rsid w:val="00921873"/>
    <w:rsid w:val="009223E9"/>
    <w:rsid w:val="00922D01"/>
    <w:rsid w:val="00930BB8"/>
    <w:rsid w:val="00930CD7"/>
    <w:rsid w:val="00932D2D"/>
    <w:rsid w:val="009407A6"/>
    <w:rsid w:val="00942899"/>
    <w:rsid w:val="00942DC1"/>
    <w:rsid w:val="00947D27"/>
    <w:rsid w:val="00953D11"/>
    <w:rsid w:val="009566A2"/>
    <w:rsid w:val="0095694E"/>
    <w:rsid w:val="00960431"/>
    <w:rsid w:val="00960CC2"/>
    <w:rsid w:val="00961CB3"/>
    <w:rsid w:val="00963D96"/>
    <w:rsid w:val="00964DE7"/>
    <w:rsid w:val="00965F81"/>
    <w:rsid w:val="009679CA"/>
    <w:rsid w:val="00967EC9"/>
    <w:rsid w:val="0097006C"/>
    <w:rsid w:val="009706E4"/>
    <w:rsid w:val="009737F3"/>
    <w:rsid w:val="00974CA2"/>
    <w:rsid w:val="009753E3"/>
    <w:rsid w:val="00977797"/>
    <w:rsid w:val="00981CDB"/>
    <w:rsid w:val="00984E8C"/>
    <w:rsid w:val="0098538E"/>
    <w:rsid w:val="00985B84"/>
    <w:rsid w:val="00986433"/>
    <w:rsid w:val="00992117"/>
    <w:rsid w:val="009924C1"/>
    <w:rsid w:val="009952D4"/>
    <w:rsid w:val="00995D34"/>
    <w:rsid w:val="009A01B5"/>
    <w:rsid w:val="009A1904"/>
    <w:rsid w:val="009A409A"/>
    <w:rsid w:val="009A48AB"/>
    <w:rsid w:val="009A4CC0"/>
    <w:rsid w:val="009A5C63"/>
    <w:rsid w:val="009B1321"/>
    <w:rsid w:val="009B190C"/>
    <w:rsid w:val="009B5739"/>
    <w:rsid w:val="009B68A2"/>
    <w:rsid w:val="009B7859"/>
    <w:rsid w:val="009C7ABE"/>
    <w:rsid w:val="009D1086"/>
    <w:rsid w:val="009D1C85"/>
    <w:rsid w:val="009D2010"/>
    <w:rsid w:val="009D3A94"/>
    <w:rsid w:val="009E376D"/>
    <w:rsid w:val="009E68B7"/>
    <w:rsid w:val="009F10EC"/>
    <w:rsid w:val="009F257E"/>
    <w:rsid w:val="009F2DC0"/>
    <w:rsid w:val="009F4D9C"/>
    <w:rsid w:val="00A07EFF"/>
    <w:rsid w:val="00A07F01"/>
    <w:rsid w:val="00A133E0"/>
    <w:rsid w:val="00A14E81"/>
    <w:rsid w:val="00A20021"/>
    <w:rsid w:val="00A20BF9"/>
    <w:rsid w:val="00A2365A"/>
    <w:rsid w:val="00A238F6"/>
    <w:rsid w:val="00A4153D"/>
    <w:rsid w:val="00A43989"/>
    <w:rsid w:val="00A47467"/>
    <w:rsid w:val="00A478F9"/>
    <w:rsid w:val="00A549B1"/>
    <w:rsid w:val="00A55F44"/>
    <w:rsid w:val="00A57559"/>
    <w:rsid w:val="00A57ABF"/>
    <w:rsid w:val="00A60962"/>
    <w:rsid w:val="00A64A86"/>
    <w:rsid w:val="00A651F1"/>
    <w:rsid w:val="00A66EF1"/>
    <w:rsid w:val="00A763ED"/>
    <w:rsid w:val="00A765EA"/>
    <w:rsid w:val="00A81283"/>
    <w:rsid w:val="00A81B7C"/>
    <w:rsid w:val="00A81D91"/>
    <w:rsid w:val="00A86FC5"/>
    <w:rsid w:val="00A97848"/>
    <w:rsid w:val="00AA5793"/>
    <w:rsid w:val="00AB0DB5"/>
    <w:rsid w:val="00AB2E55"/>
    <w:rsid w:val="00AB41CA"/>
    <w:rsid w:val="00AC0F74"/>
    <w:rsid w:val="00AC1129"/>
    <w:rsid w:val="00AC140E"/>
    <w:rsid w:val="00AC6CCF"/>
    <w:rsid w:val="00AD026D"/>
    <w:rsid w:val="00AE02B8"/>
    <w:rsid w:val="00AE0C04"/>
    <w:rsid w:val="00AE1C2A"/>
    <w:rsid w:val="00AE21C1"/>
    <w:rsid w:val="00AE2394"/>
    <w:rsid w:val="00AE42D6"/>
    <w:rsid w:val="00AF1AF8"/>
    <w:rsid w:val="00AF2F72"/>
    <w:rsid w:val="00AF4A04"/>
    <w:rsid w:val="00AF5CAC"/>
    <w:rsid w:val="00B00A76"/>
    <w:rsid w:val="00B0530B"/>
    <w:rsid w:val="00B071E8"/>
    <w:rsid w:val="00B13F29"/>
    <w:rsid w:val="00B14AE3"/>
    <w:rsid w:val="00B15ACB"/>
    <w:rsid w:val="00B16D03"/>
    <w:rsid w:val="00B17A51"/>
    <w:rsid w:val="00B211FD"/>
    <w:rsid w:val="00B25410"/>
    <w:rsid w:val="00B3034C"/>
    <w:rsid w:val="00B32314"/>
    <w:rsid w:val="00B3714B"/>
    <w:rsid w:val="00B41018"/>
    <w:rsid w:val="00B411A8"/>
    <w:rsid w:val="00B43197"/>
    <w:rsid w:val="00B43594"/>
    <w:rsid w:val="00B437DC"/>
    <w:rsid w:val="00B44477"/>
    <w:rsid w:val="00B60268"/>
    <w:rsid w:val="00B6213C"/>
    <w:rsid w:val="00B62CE4"/>
    <w:rsid w:val="00B64F0C"/>
    <w:rsid w:val="00B65265"/>
    <w:rsid w:val="00B660E2"/>
    <w:rsid w:val="00B70DF4"/>
    <w:rsid w:val="00B7117E"/>
    <w:rsid w:val="00B711BC"/>
    <w:rsid w:val="00B72288"/>
    <w:rsid w:val="00B75F3E"/>
    <w:rsid w:val="00B77002"/>
    <w:rsid w:val="00B82373"/>
    <w:rsid w:val="00B826F9"/>
    <w:rsid w:val="00B85623"/>
    <w:rsid w:val="00B8588F"/>
    <w:rsid w:val="00B85C73"/>
    <w:rsid w:val="00B973AD"/>
    <w:rsid w:val="00BA0104"/>
    <w:rsid w:val="00BA0131"/>
    <w:rsid w:val="00BA13D4"/>
    <w:rsid w:val="00BA1C31"/>
    <w:rsid w:val="00BB299B"/>
    <w:rsid w:val="00BB59B6"/>
    <w:rsid w:val="00BB7E72"/>
    <w:rsid w:val="00BC61A2"/>
    <w:rsid w:val="00BC672B"/>
    <w:rsid w:val="00BD0697"/>
    <w:rsid w:val="00BD09AE"/>
    <w:rsid w:val="00BD344D"/>
    <w:rsid w:val="00BD58EF"/>
    <w:rsid w:val="00BE2E03"/>
    <w:rsid w:val="00BE37D8"/>
    <w:rsid w:val="00BE59A1"/>
    <w:rsid w:val="00BE7BBD"/>
    <w:rsid w:val="00BF2AC8"/>
    <w:rsid w:val="00C014FC"/>
    <w:rsid w:val="00C03602"/>
    <w:rsid w:val="00C07E1E"/>
    <w:rsid w:val="00C23A01"/>
    <w:rsid w:val="00C2421A"/>
    <w:rsid w:val="00C26967"/>
    <w:rsid w:val="00C27343"/>
    <w:rsid w:val="00C32976"/>
    <w:rsid w:val="00C329FA"/>
    <w:rsid w:val="00C36186"/>
    <w:rsid w:val="00C43984"/>
    <w:rsid w:val="00C45F03"/>
    <w:rsid w:val="00C4766C"/>
    <w:rsid w:val="00C47E33"/>
    <w:rsid w:val="00C54D00"/>
    <w:rsid w:val="00C57529"/>
    <w:rsid w:val="00C615B1"/>
    <w:rsid w:val="00C648AB"/>
    <w:rsid w:val="00C65633"/>
    <w:rsid w:val="00C65F22"/>
    <w:rsid w:val="00C73CDC"/>
    <w:rsid w:val="00C81C0A"/>
    <w:rsid w:val="00C821CB"/>
    <w:rsid w:val="00C84E3F"/>
    <w:rsid w:val="00C93364"/>
    <w:rsid w:val="00C93C23"/>
    <w:rsid w:val="00C95B7F"/>
    <w:rsid w:val="00C96354"/>
    <w:rsid w:val="00C970A1"/>
    <w:rsid w:val="00CA04D8"/>
    <w:rsid w:val="00CB01CA"/>
    <w:rsid w:val="00CB097C"/>
    <w:rsid w:val="00CB1EE2"/>
    <w:rsid w:val="00CB2124"/>
    <w:rsid w:val="00CB4368"/>
    <w:rsid w:val="00CB7F6A"/>
    <w:rsid w:val="00CE093E"/>
    <w:rsid w:val="00CE5BF4"/>
    <w:rsid w:val="00CE5F28"/>
    <w:rsid w:val="00CF30D4"/>
    <w:rsid w:val="00CF38F0"/>
    <w:rsid w:val="00CF49F9"/>
    <w:rsid w:val="00CF4CE7"/>
    <w:rsid w:val="00D0000F"/>
    <w:rsid w:val="00D008CE"/>
    <w:rsid w:val="00D02536"/>
    <w:rsid w:val="00D069CC"/>
    <w:rsid w:val="00D073DA"/>
    <w:rsid w:val="00D11019"/>
    <w:rsid w:val="00D121D3"/>
    <w:rsid w:val="00D12E9F"/>
    <w:rsid w:val="00D16291"/>
    <w:rsid w:val="00D207EA"/>
    <w:rsid w:val="00D208AC"/>
    <w:rsid w:val="00D2112C"/>
    <w:rsid w:val="00D23F8E"/>
    <w:rsid w:val="00D25F14"/>
    <w:rsid w:val="00D27AB0"/>
    <w:rsid w:val="00D308B2"/>
    <w:rsid w:val="00D31D08"/>
    <w:rsid w:val="00D32A29"/>
    <w:rsid w:val="00D336D8"/>
    <w:rsid w:val="00D36106"/>
    <w:rsid w:val="00D361D2"/>
    <w:rsid w:val="00D40054"/>
    <w:rsid w:val="00D414C5"/>
    <w:rsid w:val="00D42786"/>
    <w:rsid w:val="00D435F8"/>
    <w:rsid w:val="00D45554"/>
    <w:rsid w:val="00D52217"/>
    <w:rsid w:val="00D53A16"/>
    <w:rsid w:val="00D54514"/>
    <w:rsid w:val="00D561C7"/>
    <w:rsid w:val="00D57AA5"/>
    <w:rsid w:val="00D60BD6"/>
    <w:rsid w:val="00D65454"/>
    <w:rsid w:val="00D70EED"/>
    <w:rsid w:val="00D71655"/>
    <w:rsid w:val="00D7172C"/>
    <w:rsid w:val="00D74E84"/>
    <w:rsid w:val="00D75D8F"/>
    <w:rsid w:val="00D76A8B"/>
    <w:rsid w:val="00D77126"/>
    <w:rsid w:val="00D9067A"/>
    <w:rsid w:val="00D94555"/>
    <w:rsid w:val="00D958B2"/>
    <w:rsid w:val="00D96EB9"/>
    <w:rsid w:val="00D96F6A"/>
    <w:rsid w:val="00D979C0"/>
    <w:rsid w:val="00DA35B0"/>
    <w:rsid w:val="00DA5BA7"/>
    <w:rsid w:val="00DA6962"/>
    <w:rsid w:val="00DB00E1"/>
    <w:rsid w:val="00DB1124"/>
    <w:rsid w:val="00DB2774"/>
    <w:rsid w:val="00DB6CDA"/>
    <w:rsid w:val="00DC16C3"/>
    <w:rsid w:val="00DC31F6"/>
    <w:rsid w:val="00DC43D0"/>
    <w:rsid w:val="00DC4F0D"/>
    <w:rsid w:val="00DC5183"/>
    <w:rsid w:val="00DC7C14"/>
    <w:rsid w:val="00DD2096"/>
    <w:rsid w:val="00DD3483"/>
    <w:rsid w:val="00DD4183"/>
    <w:rsid w:val="00DD678B"/>
    <w:rsid w:val="00DD7AB6"/>
    <w:rsid w:val="00DE2938"/>
    <w:rsid w:val="00DE2CC1"/>
    <w:rsid w:val="00DE3856"/>
    <w:rsid w:val="00DE7B09"/>
    <w:rsid w:val="00DF7CDB"/>
    <w:rsid w:val="00E027F6"/>
    <w:rsid w:val="00E04243"/>
    <w:rsid w:val="00E07027"/>
    <w:rsid w:val="00E070F0"/>
    <w:rsid w:val="00E252E4"/>
    <w:rsid w:val="00E27F61"/>
    <w:rsid w:val="00E35445"/>
    <w:rsid w:val="00E35B09"/>
    <w:rsid w:val="00E35D80"/>
    <w:rsid w:val="00E422A1"/>
    <w:rsid w:val="00E429D3"/>
    <w:rsid w:val="00E4369A"/>
    <w:rsid w:val="00E448D9"/>
    <w:rsid w:val="00E52E2D"/>
    <w:rsid w:val="00E556DF"/>
    <w:rsid w:val="00E56CCE"/>
    <w:rsid w:val="00E61956"/>
    <w:rsid w:val="00E61E9E"/>
    <w:rsid w:val="00E672A2"/>
    <w:rsid w:val="00E67C5A"/>
    <w:rsid w:val="00E71993"/>
    <w:rsid w:val="00E7789B"/>
    <w:rsid w:val="00E90030"/>
    <w:rsid w:val="00E904F8"/>
    <w:rsid w:val="00E91A73"/>
    <w:rsid w:val="00E92A85"/>
    <w:rsid w:val="00E9313A"/>
    <w:rsid w:val="00E938FD"/>
    <w:rsid w:val="00E94F9D"/>
    <w:rsid w:val="00EA08EF"/>
    <w:rsid w:val="00EA3FB8"/>
    <w:rsid w:val="00EA4B26"/>
    <w:rsid w:val="00EB01C8"/>
    <w:rsid w:val="00EB03EE"/>
    <w:rsid w:val="00EB24D7"/>
    <w:rsid w:val="00EB4186"/>
    <w:rsid w:val="00EC0CFF"/>
    <w:rsid w:val="00EC779A"/>
    <w:rsid w:val="00ED1487"/>
    <w:rsid w:val="00ED24B0"/>
    <w:rsid w:val="00ED646B"/>
    <w:rsid w:val="00ED7581"/>
    <w:rsid w:val="00EE368F"/>
    <w:rsid w:val="00EE7E38"/>
    <w:rsid w:val="00EF5E77"/>
    <w:rsid w:val="00EF6198"/>
    <w:rsid w:val="00EF7389"/>
    <w:rsid w:val="00F01DD8"/>
    <w:rsid w:val="00F03A7C"/>
    <w:rsid w:val="00F0617B"/>
    <w:rsid w:val="00F0726F"/>
    <w:rsid w:val="00F078D7"/>
    <w:rsid w:val="00F144A6"/>
    <w:rsid w:val="00F14522"/>
    <w:rsid w:val="00F33248"/>
    <w:rsid w:val="00F34FC9"/>
    <w:rsid w:val="00F366B2"/>
    <w:rsid w:val="00F37182"/>
    <w:rsid w:val="00F42849"/>
    <w:rsid w:val="00F42B94"/>
    <w:rsid w:val="00F43CA5"/>
    <w:rsid w:val="00F52E62"/>
    <w:rsid w:val="00F54293"/>
    <w:rsid w:val="00F62819"/>
    <w:rsid w:val="00F64FF6"/>
    <w:rsid w:val="00F67021"/>
    <w:rsid w:val="00F72F00"/>
    <w:rsid w:val="00F73705"/>
    <w:rsid w:val="00F77727"/>
    <w:rsid w:val="00F81E63"/>
    <w:rsid w:val="00F904EA"/>
    <w:rsid w:val="00F92506"/>
    <w:rsid w:val="00F92566"/>
    <w:rsid w:val="00F93151"/>
    <w:rsid w:val="00F94050"/>
    <w:rsid w:val="00F97261"/>
    <w:rsid w:val="00F973FD"/>
    <w:rsid w:val="00FA07D1"/>
    <w:rsid w:val="00FA2609"/>
    <w:rsid w:val="00FB2824"/>
    <w:rsid w:val="00FB34A4"/>
    <w:rsid w:val="00FB4C18"/>
    <w:rsid w:val="00FB6049"/>
    <w:rsid w:val="00FC40A7"/>
    <w:rsid w:val="00FD077C"/>
    <w:rsid w:val="00FE0FC1"/>
    <w:rsid w:val="00FE522D"/>
    <w:rsid w:val="00FE536A"/>
    <w:rsid w:val="00FE5FF3"/>
    <w:rsid w:val="00FE6234"/>
    <w:rsid w:val="00FE6360"/>
    <w:rsid w:val="00FE63B0"/>
    <w:rsid w:val="00FE7F4C"/>
    <w:rsid w:val="00FF2180"/>
    <w:rsid w:val="00FF3D98"/>
    <w:rsid w:val="00FF5EA5"/>
    <w:rsid w:val="00FF7F46"/>
    <w:rsid w:val="02836FD5"/>
    <w:rsid w:val="02DE187D"/>
    <w:rsid w:val="03AF1619"/>
    <w:rsid w:val="05832C2A"/>
    <w:rsid w:val="05924D4E"/>
    <w:rsid w:val="05E71039"/>
    <w:rsid w:val="08712E62"/>
    <w:rsid w:val="095F3199"/>
    <w:rsid w:val="0A402FCB"/>
    <w:rsid w:val="0A4E6541"/>
    <w:rsid w:val="0B3A2110"/>
    <w:rsid w:val="0C437EE4"/>
    <w:rsid w:val="0D662D48"/>
    <w:rsid w:val="0DF442BC"/>
    <w:rsid w:val="0E655D57"/>
    <w:rsid w:val="0F276507"/>
    <w:rsid w:val="0FA67D74"/>
    <w:rsid w:val="0FD30808"/>
    <w:rsid w:val="0FD7617F"/>
    <w:rsid w:val="101165B1"/>
    <w:rsid w:val="10156CA8"/>
    <w:rsid w:val="10991687"/>
    <w:rsid w:val="126006AE"/>
    <w:rsid w:val="13E3036E"/>
    <w:rsid w:val="14171668"/>
    <w:rsid w:val="14BC3B96"/>
    <w:rsid w:val="15C23272"/>
    <w:rsid w:val="16C827C1"/>
    <w:rsid w:val="18057457"/>
    <w:rsid w:val="18383533"/>
    <w:rsid w:val="185C1918"/>
    <w:rsid w:val="19197809"/>
    <w:rsid w:val="197930F0"/>
    <w:rsid w:val="1B5E7755"/>
    <w:rsid w:val="1B662AAD"/>
    <w:rsid w:val="1D4C0356"/>
    <w:rsid w:val="1D886D0B"/>
    <w:rsid w:val="1DBC7589"/>
    <w:rsid w:val="1EA23DFC"/>
    <w:rsid w:val="1F106342"/>
    <w:rsid w:val="1F52137F"/>
    <w:rsid w:val="1F5F584A"/>
    <w:rsid w:val="1F7E6617"/>
    <w:rsid w:val="20E420DA"/>
    <w:rsid w:val="22DB198C"/>
    <w:rsid w:val="246163AE"/>
    <w:rsid w:val="24BC729A"/>
    <w:rsid w:val="25AE752B"/>
    <w:rsid w:val="263E65FC"/>
    <w:rsid w:val="26AA79A0"/>
    <w:rsid w:val="27870033"/>
    <w:rsid w:val="27FF7BCA"/>
    <w:rsid w:val="288E0F4E"/>
    <w:rsid w:val="28E16C07"/>
    <w:rsid w:val="29D15928"/>
    <w:rsid w:val="2B082C47"/>
    <w:rsid w:val="2B45623B"/>
    <w:rsid w:val="2B8C5C18"/>
    <w:rsid w:val="2C0F23A5"/>
    <w:rsid w:val="2C1C00BB"/>
    <w:rsid w:val="2DEB3174"/>
    <w:rsid w:val="32290665"/>
    <w:rsid w:val="327D62BB"/>
    <w:rsid w:val="32B36180"/>
    <w:rsid w:val="33D53644"/>
    <w:rsid w:val="34313801"/>
    <w:rsid w:val="36C4095C"/>
    <w:rsid w:val="370F76FD"/>
    <w:rsid w:val="37797999"/>
    <w:rsid w:val="378E0F6A"/>
    <w:rsid w:val="380A6843"/>
    <w:rsid w:val="38A071A7"/>
    <w:rsid w:val="38A764F8"/>
    <w:rsid w:val="3A211C22"/>
    <w:rsid w:val="3BB840E2"/>
    <w:rsid w:val="3BD64F66"/>
    <w:rsid w:val="3C601127"/>
    <w:rsid w:val="3D5F66E9"/>
    <w:rsid w:val="3DAC214A"/>
    <w:rsid w:val="3EA6028E"/>
    <w:rsid w:val="40730CFD"/>
    <w:rsid w:val="421F634F"/>
    <w:rsid w:val="422F4D7D"/>
    <w:rsid w:val="431C38CE"/>
    <w:rsid w:val="432F53AF"/>
    <w:rsid w:val="44224F14"/>
    <w:rsid w:val="463F1DAD"/>
    <w:rsid w:val="46C46CE6"/>
    <w:rsid w:val="47217705"/>
    <w:rsid w:val="48FE7EA6"/>
    <w:rsid w:val="4A121587"/>
    <w:rsid w:val="4AE253FD"/>
    <w:rsid w:val="4B562034"/>
    <w:rsid w:val="4C7B1665"/>
    <w:rsid w:val="4C9E7102"/>
    <w:rsid w:val="4D4C4DB0"/>
    <w:rsid w:val="4E7D2DE3"/>
    <w:rsid w:val="51022355"/>
    <w:rsid w:val="52F21F55"/>
    <w:rsid w:val="53B60543"/>
    <w:rsid w:val="53B8319F"/>
    <w:rsid w:val="544A6CFB"/>
    <w:rsid w:val="54D51B2F"/>
    <w:rsid w:val="55064017"/>
    <w:rsid w:val="55DA4455"/>
    <w:rsid w:val="56390724"/>
    <w:rsid w:val="56E2382E"/>
    <w:rsid w:val="57203535"/>
    <w:rsid w:val="573568B4"/>
    <w:rsid w:val="586138B6"/>
    <w:rsid w:val="5A3E11B4"/>
    <w:rsid w:val="5CF865E1"/>
    <w:rsid w:val="5D3A69D3"/>
    <w:rsid w:val="5E55596E"/>
    <w:rsid w:val="5E6443B5"/>
    <w:rsid w:val="5F8E327C"/>
    <w:rsid w:val="5F9C39F1"/>
    <w:rsid w:val="615F10FE"/>
    <w:rsid w:val="62061579"/>
    <w:rsid w:val="620A1069"/>
    <w:rsid w:val="62167A0F"/>
    <w:rsid w:val="62975F54"/>
    <w:rsid w:val="62AF7E63"/>
    <w:rsid w:val="62BE5969"/>
    <w:rsid w:val="63350368"/>
    <w:rsid w:val="639A354F"/>
    <w:rsid w:val="641000A9"/>
    <w:rsid w:val="66C13CC1"/>
    <w:rsid w:val="6780592A"/>
    <w:rsid w:val="67C7309F"/>
    <w:rsid w:val="67D068B1"/>
    <w:rsid w:val="69674FF3"/>
    <w:rsid w:val="69C02083"/>
    <w:rsid w:val="6DD7186B"/>
    <w:rsid w:val="6EE53D51"/>
    <w:rsid w:val="6F382EDE"/>
    <w:rsid w:val="70D43EF5"/>
    <w:rsid w:val="722717C4"/>
    <w:rsid w:val="72454484"/>
    <w:rsid w:val="73A232F3"/>
    <w:rsid w:val="749173F7"/>
    <w:rsid w:val="75D03F20"/>
    <w:rsid w:val="76B02B1D"/>
    <w:rsid w:val="76DF08BF"/>
    <w:rsid w:val="77BA4E88"/>
    <w:rsid w:val="77FFB9A8"/>
    <w:rsid w:val="78C87131"/>
    <w:rsid w:val="78F10436"/>
    <w:rsid w:val="79EE027B"/>
    <w:rsid w:val="7B1407E6"/>
    <w:rsid w:val="7BC1326E"/>
    <w:rsid w:val="7C315D0E"/>
    <w:rsid w:val="7C3E7E36"/>
    <w:rsid w:val="7C5E2986"/>
    <w:rsid w:val="7D0270B5"/>
    <w:rsid w:val="7E3F60E7"/>
    <w:rsid w:val="7F6776A3"/>
    <w:rsid w:val="7FD14B1D"/>
    <w:rsid w:val="7FD91C23"/>
    <w:rsid w:val="8F6F66FF"/>
    <w:rsid w:val="DDBD4760"/>
    <w:rsid w:val="FF7EF9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iPriority="39" w:semiHidden="0" w:name="toc 6"/>
    <w:lsdException w:uiPriority="39" w:name="toc 7"/>
    <w:lsdException w:qFormat="1"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0"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61"/>
    <w:qFormat/>
    <w:uiPriority w:val="0"/>
    <w:pPr>
      <w:keepNext/>
      <w:keepLines/>
      <w:widowControl/>
      <w:tabs>
        <w:tab w:val="left" w:pos="720"/>
      </w:tabs>
      <w:spacing w:before="120" w:after="120" w:line="360" w:lineRule="auto"/>
      <w:jc w:val="center"/>
      <w:outlineLvl w:val="2"/>
    </w:pPr>
    <w:rPr>
      <w:rFonts w:ascii="Times New Roman" w:hAnsi="Times New Roman" w:eastAsia="??"/>
      <w:b/>
      <w:kern w:val="0"/>
      <w:sz w:val="32"/>
      <w:szCs w:val="28"/>
    </w:rPr>
  </w:style>
  <w:style w:type="paragraph" w:styleId="7">
    <w:name w:val="heading 4"/>
    <w:basedOn w:val="1"/>
    <w:next w:val="1"/>
    <w:link w:val="62"/>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link w:val="63"/>
    <w:qFormat/>
    <w:uiPriority w:val="0"/>
    <w:pPr>
      <w:keepNext/>
      <w:keepLines/>
      <w:widowControl/>
      <w:tabs>
        <w:tab w:val="left" w:pos="1008"/>
      </w:tabs>
      <w:spacing w:before="280" w:after="290" w:line="376" w:lineRule="auto"/>
      <w:ind w:left="1008" w:hanging="1008"/>
      <w:jc w:val="left"/>
      <w:outlineLvl w:val="4"/>
    </w:pPr>
    <w:rPr>
      <w:rFonts w:ascii="Times New Roman" w:hAnsi="Times New Roman"/>
      <w:b/>
      <w:bCs/>
      <w:kern w:val="0"/>
      <w:sz w:val="28"/>
      <w:szCs w:val="28"/>
    </w:rPr>
  </w:style>
  <w:style w:type="paragraph" w:styleId="9">
    <w:name w:val="heading 6"/>
    <w:basedOn w:val="1"/>
    <w:next w:val="1"/>
    <w:link w:val="6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65"/>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11">
    <w:name w:val="heading 8"/>
    <w:basedOn w:val="1"/>
    <w:next w:val="1"/>
    <w:link w:val="6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67"/>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91"/>
    <w:unhideWhenUsed/>
    <w:qFormat/>
    <w:uiPriority w:val="0"/>
    <w:pPr>
      <w:spacing w:after="120" w:line="240" w:lineRule="auto"/>
      <w:ind w:left="420" w:leftChars="200" w:firstLine="420" w:firstLineChars="200"/>
    </w:pPr>
    <w:rPr>
      <w:rFonts w:ascii="等线" w:hAnsi="等线" w:eastAsia="宋体" w:cs="Times New Roman"/>
      <w:sz w:val="21"/>
      <w:szCs w:val="24"/>
    </w:rPr>
  </w:style>
  <w:style w:type="paragraph" w:styleId="3">
    <w:name w:val="Body Text Indent"/>
    <w:basedOn w:val="1"/>
    <w:next w:val="1"/>
    <w:link w:val="58"/>
    <w:qFormat/>
    <w:uiPriority w:val="0"/>
    <w:pPr>
      <w:spacing w:line="480" w:lineRule="atLeast"/>
      <w:ind w:firstLine="570"/>
    </w:pPr>
    <w:rPr>
      <w:rFonts w:ascii="??" w:hAnsi="??" w:eastAsia="??" w:cs="宋体"/>
      <w:sz w:val="28"/>
      <w:szCs w:val="28"/>
    </w:rPr>
  </w:style>
  <w:style w:type="paragraph" w:styleId="13">
    <w:name w:val="List 3"/>
    <w:basedOn w:val="1"/>
    <w:unhideWhenUsed/>
    <w:qFormat/>
    <w:uiPriority w:val="99"/>
    <w:pPr>
      <w:ind w:left="100" w:leftChars="400" w:hanging="200" w:hangingChars="200"/>
      <w:contextualSpacing/>
    </w:pPr>
  </w:style>
  <w:style w:type="paragraph" w:styleId="14">
    <w:name w:val="List Number 2"/>
    <w:basedOn w:val="1"/>
    <w:semiHidden/>
    <w:unhideWhenUsed/>
    <w:qFormat/>
    <w:uiPriority w:val="99"/>
    <w:pPr>
      <w:numPr>
        <w:ilvl w:val="0"/>
        <w:numId w:val="1"/>
      </w:numPr>
      <w:tabs>
        <w:tab w:val="left" w:pos="360"/>
        <w:tab w:val="clear" w:pos="780"/>
      </w:tabs>
      <w:ind w:left="0" w:firstLine="0"/>
    </w:pPr>
  </w:style>
  <w:style w:type="paragraph" w:styleId="15">
    <w:name w:val="List Number"/>
    <w:basedOn w:val="1"/>
    <w:link w:val="68"/>
    <w:qFormat/>
    <w:uiPriority w:val="0"/>
    <w:pPr>
      <w:tabs>
        <w:tab w:val="left" w:pos="360"/>
      </w:tabs>
      <w:spacing w:line="360" w:lineRule="auto"/>
      <w:ind w:left="360" w:hanging="360" w:hangingChars="200"/>
    </w:pPr>
    <w:rPr>
      <w:rFonts w:eastAsia="楷体_GB2312"/>
      <w:sz w:val="24"/>
    </w:rPr>
  </w:style>
  <w:style w:type="paragraph" w:styleId="16">
    <w:name w:val="Normal Indent"/>
    <w:basedOn w:val="1"/>
    <w:next w:val="1"/>
    <w:link w:val="69"/>
    <w:qFormat/>
    <w:uiPriority w:val="0"/>
    <w:pPr>
      <w:ind w:firstLine="420" w:firstLineChars="200"/>
    </w:pPr>
  </w:style>
  <w:style w:type="paragraph" w:styleId="17">
    <w:name w:val="caption"/>
    <w:basedOn w:val="1"/>
    <w:next w:val="1"/>
    <w:link w:val="70"/>
    <w:qFormat/>
    <w:uiPriority w:val="0"/>
    <w:pPr>
      <w:spacing w:before="152" w:after="160"/>
    </w:pPr>
    <w:rPr>
      <w:rFonts w:ascii="Arial" w:hAnsi="Arial" w:eastAsia="黑体" w:cs="Arial"/>
      <w:sz w:val="20"/>
      <w:szCs w:val="20"/>
    </w:rPr>
  </w:style>
  <w:style w:type="paragraph" w:styleId="18">
    <w:name w:val="Document Map"/>
    <w:basedOn w:val="1"/>
    <w:link w:val="71"/>
    <w:qFormat/>
    <w:uiPriority w:val="0"/>
    <w:rPr>
      <w:rFonts w:ascii="宋体" w:hAnsi="Calibri" w:eastAsiaTheme="minorEastAsia" w:cstheme="minorBidi"/>
      <w:sz w:val="18"/>
      <w:szCs w:val="18"/>
    </w:rPr>
  </w:style>
  <w:style w:type="paragraph" w:styleId="19">
    <w:name w:val="annotation text"/>
    <w:basedOn w:val="1"/>
    <w:link w:val="72"/>
    <w:qFormat/>
    <w:uiPriority w:val="0"/>
    <w:pPr>
      <w:jc w:val="left"/>
    </w:pPr>
    <w:rPr>
      <w:rFonts w:cs="Lucida Sans" w:asciiTheme="minorHAnsi" w:hAnsiTheme="minorHAnsi"/>
      <w:szCs w:val="22"/>
    </w:rPr>
  </w:style>
  <w:style w:type="paragraph" w:styleId="20">
    <w:name w:val="Body Text 3"/>
    <w:basedOn w:val="1"/>
    <w:link w:val="73"/>
    <w:qFormat/>
    <w:uiPriority w:val="0"/>
    <w:pPr>
      <w:spacing w:after="120"/>
    </w:pPr>
    <w:rPr>
      <w:rFonts w:asciiTheme="minorHAnsi" w:hAnsiTheme="minorHAnsi" w:eastAsiaTheme="minorEastAsia" w:cstheme="minorBidi"/>
      <w:sz w:val="16"/>
      <w:szCs w:val="16"/>
    </w:rPr>
  </w:style>
  <w:style w:type="paragraph" w:styleId="21">
    <w:name w:val="Body Text"/>
    <w:basedOn w:val="1"/>
    <w:link w:val="74"/>
    <w:unhideWhenUsed/>
    <w:qFormat/>
    <w:uiPriority w:val="0"/>
    <w:pPr>
      <w:spacing w:after="120"/>
    </w:pPr>
  </w:style>
  <w:style w:type="paragraph" w:styleId="22">
    <w:name w:val="List 2"/>
    <w:basedOn w:val="1"/>
    <w:unhideWhenUsed/>
    <w:qFormat/>
    <w:uiPriority w:val="0"/>
    <w:pPr>
      <w:ind w:left="100" w:leftChars="200" w:hanging="200" w:hangingChars="200"/>
      <w:contextualSpacing/>
    </w:pPr>
  </w:style>
  <w:style w:type="paragraph" w:styleId="23">
    <w:name w:val="Block Text"/>
    <w:basedOn w:val="1"/>
    <w:qFormat/>
    <w:uiPriority w:val="0"/>
    <w:pPr>
      <w:autoSpaceDE w:val="0"/>
      <w:autoSpaceDN w:val="0"/>
      <w:adjustRightInd w:val="0"/>
      <w:spacing w:line="240" w:lineRule="atLeast"/>
      <w:ind w:left="1797" w:right="857" w:rightChars="857" w:firstLine="542" w:firstLineChars="226"/>
      <w:jc w:val="left"/>
    </w:pPr>
    <w:rPr>
      <w:rFonts w:hint="eastAsia" w:ascii="宋体" w:hAnsi="Times New Roman"/>
      <w:color w:val="000000"/>
      <w:kern w:val="0"/>
      <w:sz w:val="24"/>
    </w:rPr>
  </w:style>
  <w:style w:type="paragraph" w:styleId="24">
    <w:name w:val="toc 5"/>
    <w:basedOn w:val="1"/>
    <w:next w:val="1"/>
    <w:qFormat/>
    <w:uiPriority w:val="0"/>
    <w:pPr>
      <w:ind w:left="840"/>
      <w:jc w:val="left"/>
    </w:pPr>
    <w:rPr>
      <w:rFonts w:ascii="Times New Roman" w:hAnsi="Times New Roman"/>
      <w:sz w:val="18"/>
      <w:szCs w:val="18"/>
    </w:rPr>
  </w:style>
  <w:style w:type="paragraph" w:styleId="25">
    <w:name w:val="toc 3"/>
    <w:basedOn w:val="1"/>
    <w:next w:val="1"/>
    <w:link w:val="75"/>
    <w:qFormat/>
    <w:uiPriority w:val="39"/>
    <w:pPr>
      <w:tabs>
        <w:tab w:val="left" w:pos="1440"/>
        <w:tab w:val="right" w:leader="dot" w:pos="8302"/>
      </w:tabs>
      <w:ind w:left="718" w:leftChars="342" w:firstLine="120" w:firstLineChars="60"/>
    </w:pPr>
    <w:rPr>
      <w:rFonts w:ascii="Arial" w:hAnsi="Arial"/>
      <w:smallCaps/>
      <w:sz w:val="20"/>
    </w:rPr>
  </w:style>
  <w:style w:type="paragraph" w:styleId="26">
    <w:name w:val="Plain Text"/>
    <w:basedOn w:val="1"/>
    <w:next w:val="16"/>
    <w:link w:val="77"/>
    <w:qFormat/>
    <w:uiPriority w:val="0"/>
    <w:rPr>
      <w:rFonts w:ascii="??" w:hAnsi="??" w:eastAsia="??" w:cs="宋体"/>
      <w:szCs w:val="21"/>
    </w:rPr>
  </w:style>
  <w:style w:type="paragraph" w:styleId="27">
    <w:name w:val="toc 8"/>
    <w:basedOn w:val="1"/>
    <w:next w:val="1"/>
    <w:unhideWhenUsed/>
    <w:qFormat/>
    <w:uiPriority w:val="0"/>
    <w:pPr>
      <w:ind w:left="2940" w:leftChars="1400"/>
    </w:pPr>
  </w:style>
  <w:style w:type="paragraph" w:styleId="28">
    <w:name w:val="Date"/>
    <w:basedOn w:val="1"/>
    <w:next w:val="1"/>
    <w:link w:val="76"/>
    <w:unhideWhenUsed/>
    <w:qFormat/>
    <w:uiPriority w:val="0"/>
    <w:pPr>
      <w:ind w:left="100" w:leftChars="2500"/>
    </w:pPr>
  </w:style>
  <w:style w:type="paragraph" w:styleId="29">
    <w:name w:val="Body Text Indent 2"/>
    <w:basedOn w:val="1"/>
    <w:link w:val="78"/>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hAnsiTheme="minorHAnsi" w:eastAsiaTheme="minorEastAsia" w:cstheme="minorBidi"/>
      <w:color w:val="000000"/>
      <w:kern w:val="0"/>
      <w:sz w:val="24"/>
      <w:szCs w:val="20"/>
    </w:rPr>
  </w:style>
  <w:style w:type="paragraph" w:styleId="30">
    <w:name w:val="Balloon Text"/>
    <w:basedOn w:val="1"/>
    <w:link w:val="79"/>
    <w:unhideWhenUsed/>
    <w:qFormat/>
    <w:uiPriority w:val="0"/>
    <w:rPr>
      <w:sz w:val="18"/>
      <w:szCs w:val="18"/>
    </w:rPr>
  </w:style>
  <w:style w:type="paragraph" w:styleId="31">
    <w:name w:val="footer"/>
    <w:basedOn w:val="1"/>
    <w:link w:val="80"/>
    <w:unhideWhenUsed/>
    <w:qFormat/>
    <w:uiPriority w:val="99"/>
    <w:pPr>
      <w:tabs>
        <w:tab w:val="center" w:pos="4153"/>
        <w:tab w:val="right" w:pos="8306"/>
      </w:tabs>
      <w:snapToGrid w:val="0"/>
      <w:jc w:val="left"/>
    </w:pPr>
    <w:rPr>
      <w:sz w:val="18"/>
      <w:szCs w:val="18"/>
    </w:rPr>
  </w:style>
  <w:style w:type="paragraph" w:styleId="32">
    <w:name w:val="header"/>
    <w:basedOn w:val="1"/>
    <w:link w:val="81"/>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middleDot" w:pos="8789"/>
      </w:tabs>
      <w:spacing w:line="360" w:lineRule="auto"/>
    </w:pPr>
    <w:rPr>
      <w:rFonts w:ascii="Times New Roman" w:hAnsi="Times New Roman"/>
      <w:sz w:val="24"/>
      <w:szCs w:val="20"/>
    </w:rPr>
  </w:style>
  <w:style w:type="paragraph" w:styleId="34">
    <w:name w:val="toc 4"/>
    <w:basedOn w:val="1"/>
    <w:next w:val="1"/>
    <w:qFormat/>
    <w:uiPriority w:val="39"/>
    <w:pPr>
      <w:spacing w:line="360" w:lineRule="auto"/>
      <w:ind w:left="300" w:leftChars="300" w:firstLine="200" w:firstLineChars="200"/>
    </w:pPr>
    <w:rPr>
      <w:rFonts w:ascii="Times New Roman" w:hAnsi="Times New Roman"/>
      <w:sz w:val="24"/>
    </w:rPr>
  </w:style>
  <w:style w:type="paragraph" w:styleId="35">
    <w:name w:val="Subtitle"/>
    <w:basedOn w:val="1"/>
    <w:next w:val="1"/>
    <w:link w:val="82"/>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rFonts w:ascii="Times New Roman" w:hAnsi="Times New Roman"/>
      <w:sz w:val="28"/>
    </w:rPr>
  </w:style>
  <w:style w:type="paragraph" w:styleId="37">
    <w:name w:val="footnote text"/>
    <w:basedOn w:val="1"/>
    <w:link w:val="83"/>
    <w:qFormat/>
    <w:uiPriority w:val="0"/>
    <w:pPr>
      <w:snapToGrid w:val="0"/>
      <w:jc w:val="left"/>
    </w:pPr>
    <w:rPr>
      <w:rFonts w:ascii="Times New Roman" w:hAnsi="Times New Roman" w:eastAsia="FangSong_GB2312"/>
      <w:sz w:val="18"/>
      <w:szCs w:val="20"/>
    </w:rPr>
  </w:style>
  <w:style w:type="paragraph" w:styleId="38">
    <w:name w:val="toc 6"/>
    <w:basedOn w:val="1"/>
    <w:next w:val="1"/>
    <w:unhideWhenUsed/>
    <w:qFormat/>
    <w:uiPriority w:val="39"/>
    <w:pPr>
      <w:ind w:left="2100" w:leftChars="1000"/>
    </w:pPr>
  </w:style>
  <w:style w:type="paragraph" w:styleId="39">
    <w:name w:val="Body Text Indent 3"/>
    <w:basedOn w:val="1"/>
    <w:link w:val="84"/>
    <w:qFormat/>
    <w:uiPriority w:val="0"/>
    <w:pPr>
      <w:autoSpaceDE w:val="0"/>
      <w:autoSpaceDN w:val="0"/>
      <w:adjustRightInd w:val="0"/>
      <w:spacing w:line="360" w:lineRule="atLeast"/>
      <w:ind w:left="1853"/>
      <w:jc w:val="center"/>
    </w:pPr>
    <w:rPr>
      <w:rFonts w:ascii="宋体" w:hAnsiTheme="minorHAnsi" w:eastAsiaTheme="minorEastAsia" w:cstheme="minorBidi"/>
      <w:b/>
      <w:color w:val="000000"/>
      <w:kern w:val="0"/>
      <w:sz w:val="36"/>
    </w:rPr>
  </w:style>
  <w:style w:type="paragraph" w:styleId="40">
    <w:name w:val="toc 2"/>
    <w:basedOn w:val="1"/>
    <w:next w:val="1"/>
    <w:qFormat/>
    <w:uiPriority w:val="39"/>
    <w:pPr>
      <w:tabs>
        <w:tab w:val="right" w:leader="middleDot" w:pos="8948"/>
      </w:tabs>
      <w:spacing w:before="60" w:after="60"/>
      <w:ind w:left="210"/>
    </w:pPr>
    <w:rPr>
      <w:smallCaps/>
    </w:rPr>
  </w:style>
  <w:style w:type="paragraph" w:styleId="41">
    <w:name w:val="Body Text 2"/>
    <w:basedOn w:val="1"/>
    <w:link w:val="85"/>
    <w:qFormat/>
    <w:uiPriority w:val="0"/>
    <w:pPr>
      <w:autoSpaceDE w:val="0"/>
      <w:autoSpaceDN w:val="0"/>
      <w:adjustRightInd w:val="0"/>
      <w:spacing w:line="360" w:lineRule="auto"/>
    </w:pPr>
    <w:rPr>
      <w:rFonts w:ascii="宋体" w:hAnsiTheme="minorHAnsi" w:eastAsiaTheme="minorEastAsia" w:cstheme="minorBidi"/>
      <w:color w:val="000000"/>
      <w:kern w:val="0"/>
      <w:sz w:val="24"/>
    </w:rPr>
  </w:style>
  <w:style w:type="paragraph" w:styleId="42">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next w:val="40"/>
    <w:link w:val="87"/>
    <w:qFormat/>
    <w:uiPriority w:val="99"/>
    <w:pPr>
      <w:widowControl/>
      <w:spacing w:before="100" w:beforeAutospacing="1" w:after="100" w:afterAutospacing="1"/>
      <w:jc w:val="left"/>
    </w:pPr>
    <w:rPr>
      <w:rFonts w:ascii="??" w:hAnsi="??" w:eastAsia="??" w:cs="宋体"/>
      <w:kern w:val="0"/>
      <w:sz w:val="24"/>
    </w:rPr>
  </w:style>
  <w:style w:type="paragraph" w:styleId="44">
    <w:name w:val="Title"/>
    <w:basedOn w:val="1"/>
    <w:next w:val="1"/>
    <w:link w:val="88"/>
    <w:qFormat/>
    <w:uiPriority w:val="10"/>
    <w:pPr>
      <w:numPr>
        <w:ilvl w:val="0"/>
        <w:numId w:val="2"/>
      </w:numPr>
      <w:spacing w:before="240" w:after="60"/>
      <w:jc w:val="center"/>
      <w:outlineLvl w:val="0"/>
    </w:pPr>
    <w:rPr>
      <w:rFonts w:asciiTheme="majorHAnsi" w:hAnsiTheme="majorHAnsi" w:cstheme="majorBidi"/>
      <w:b/>
      <w:bCs/>
      <w:sz w:val="36"/>
      <w:szCs w:val="32"/>
    </w:rPr>
  </w:style>
  <w:style w:type="paragraph" w:styleId="45">
    <w:name w:val="annotation subject"/>
    <w:basedOn w:val="19"/>
    <w:next w:val="19"/>
    <w:link w:val="89"/>
    <w:qFormat/>
    <w:uiPriority w:val="0"/>
    <w:rPr>
      <w:rFonts w:ascii="Times New Roman" w:hAnsi="Times New Roman" w:cs="Times New Roman"/>
      <w:b/>
      <w:bCs/>
      <w:szCs w:val="24"/>
    </w:rPr>
  </w:style>
  <w:style w:type="paragraph" w:styleId="46">
    <w:name w:val="Body Text First Indent"/>
    <w:basedOn w:val="21"/>
    <w:link w:val="90"/>
    <w:unhideWhenUsed/>
    <w:qFormat/>
    <w:uiPriority w:val="99"/>
    <w:pPr>
      <w:ind w:firstLine="420" w:firstLineChars="1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0"/>
    <w:rPr>
      <w:b/>
    </w:rPr>
  </w:style>
  <w:style w:type="character" w:styleId="51">
    <w:name w:val="page number"/>
    <w:basedOn w:val="49"/>
    <w:qFormat/>
    <w:uiPriority w:val="0"/>
  </w:style>
  <w:style w:type="character" w:styleId="52">
    <w:name w:val="FollowedHyperlink"/>
    <w:basedOn w:val="49"/>
    <w:qFormat/>
    <w:uiPriority w:val="0"/>
    <w:rPr>
      <w:color w:val="800080" w:themeColor="followedHyperlink"/>
      <w:u w:val="single"/>
      <w14:textFill>
        <w14:solidFill>
          <w14:schemeClr w14:val="folHlink"/>
        </w14:solidFill>
      </w14:textFill>
    </w:rPr>
  </w:style>
  <w:style w:type="character" w:styleId="53">
    <w:name w:val="Emphasis"/>
    <w:qFormat/>
    <w:uiPriority w:val="20"/>
    <w:rPr>
      <w:i/>
      <w:iCs/>
    </w:rPr>
  </w:style>
  <w:style w:type="character" w:styleId="54">
    <w:name w:val="HTML Typewriter"/>
    <w:qFormat/>
    <w:uiPriority w:val="0"/>
    <w:rPr>
      <w:rFonts w:hint="eastAsia" w:ascii="黑体" w:hAnsi="Courier New" w:eastAsia="黑体" w:cs="Times New Roman"/>
      <w:sz w:val="14"/>
      <w:szCs w:val="24"/>
    </w:rPr>
  </w:style>
  <w:style w:type="character" w:styleId="55">
    <w:name w:val="Hyperlink"/>
    <w:qFormat/>
    <w:uiPriority w:val="99"/>
    <w:rPr>
      <w:color w:val="0000FF"/>
      <w:u w:val="single"/>
    </w:rPr>
  </w:style>
  <w:style w:type="character" w:styleId="56">
    <w:name w:val="annotation reference"/>
    <w:basedOn w:val="49"/>
    <w:qFormat/>
    <w:uiPriority w:val="0"/>
    <w:rPr>
      <w:sz w:val="21"/>
      <w:szCs w:val="21"/>
    </w:rPr>
  </w:style>
  <w:style w:type="character" w:styleId="57">
    <w:name w:val="footnote reference"/>
    <w:qFormat/>
    <w:uiPriority w:val="0"/>
    <w:rPr>
      <w:vertAlign w:val="superscript"/>
    </w:rPr>
  </w:style>
  <w:style w:type="character" w:customStyle="1" w:styleId="58">
    <w:name w:val="正文文本缩进 Char"/>
    <w:basedOn w:val="49"/>
    <w:link w:val="3"/>
    <w:qFormat/>
    <w:uiPriority w:val="0"/>
    <w:rPr>
      <w:rFonts w:ascii="??" w:hAnsi="??" w:eastAsia="??" w:cs="宋体"/>
      <w:sz w:val="28"/>
      <w:szCs w:val="28"/>
    </w:rPr>
  </w:style>
  <w:style w:type="character" w:customStyle="1" w:styleId="59">
    <w:name w:val="标题 1 Char"/>
    <w:basedOn w:val="49"/>
    <w:link w:val="4"/>
    <w:qFormat/>
    <w:uiPriority w:val="0"/>
    <w:rPr>
      <w:rFonts w:ascii="等线" w:hAnsi="等线" w:eastAsia="宋体" w:cs="Times New Roman"/>
      <w:b/>
      <w:bCs/>
      <w:kern w:val="44"/>
      <w:sz w:val="44"/>
      <w:szCs w:val="44"/>
    </w:rPr>
  </w:style>
  <w:style w:type="character" w:customStyle="1" w:styleId="60">
    <w:name w:val="标题 2 Char"/>
    <w:basedOn w:val="49"/>
    <w:link w:val="5"/>
    <w:qFormat/>
    <w:uiPriority w:val="8"/>
    <w:rPr>
      <w:rFonts w:asciiTheme="majorHAnsi" w:hAnsiTheme="majorHAnsi" w:eastAsiaTheme="majorEastAsia" w:cstheme="majorBidi"/>
      <w:b/>
      <w:bCs/>
      <w:sz w:val="32"/>
      <w:szCs w:val="32"/>
    </w:rPr>
  </w:style>
  <w:style w:type="character" w:customStyle="1" w:styleId="61">
    <w:name w:val="标题 3 Char"/>
    <w:basedOn w:val="49"/>
    <w:link w:val="6"/>
    <w:qFormat/>
    <w:uiPriority w:val="0"/>
    <w:rPr>
      <w:rFonts w:ascii="Times New Roman" w:hAnsi="Times New Roman" w:eastAsia="??" w:cs="Times New Roman"/>
      <w:b/>
      <w:kern w:val="0"/>
      <w:sz w:val="32"/>
      <w:szCs w:val="28"/>
    </w:rPr>
  </w:style>
  <w:style w:type="character" w:customStyle="1" w:styleId="62">
    <w:name w:val="标题 4 Char"/>
    <w:basedOn w:val="49"/>
    <w:link w:val="7"/>
    <w:qFormat/>
    <w:uiPriority w:val="0"/>
    <w:rPr>
      <w:rFonts w:ascii="Cambria" w:hAnsi="Cambria" w:eastAsia="宋体" w:cs="Times New Roman"/>
      <w:b/>
      <w:bCs/>
      <w:sz w:val="28"/>
      <w:szCs w:val="28"/>
    </w:rPr>
  </w:style>
  <w:style w:type="character" w:customStyle="1" w:styleId="63">
    <w:name w:val="标题 5 Char"/>
    <w:basedOn w:val="49"/>
    <w:link w:val="8"/>
    <w:qFormat/>
    <w:uiPriority w:val="0"/>
    <w:rPr>
      <w:rFonts w:ascii="Times New Roman" w:hAnsi="Times New Roman" w:eastAsia="宋体" w:cs="Times New Roman"/>
      <w:b/>
      <w:bCs/>
      <w:kern w:val="0"/>
      <w:sz w:val="28"/>
      <w:szCs w:val="28"/>
    </w:rPr>
  </w:style>
  <w:style w:type="character" w:customStyle="1" w:styleId="64">
    <w:name w:val="标题 6 Char"/>
    <w:basedOn w:val="49"/>
    <w:link w:val="9"/>
    <w:qFormat/>
    <w:uiPriority w:val="0"/>
    <w:rPr>
      <w:rFonts w:ascii="Arial" w:hAnsi="Arial" w:eastAsia="黑体" w:cs="Times New Roman"/>
      <w:b/>
      <w:bCs/>
      <w:kern w:val="0"/>
      <w:sz w:val="24"/>
      <w:szCs w:val="24"/>
    </w:rPr>
  </w:style>
  <w:style w:type="character" w:customStyle="1" w:styleId="65">
    <w:name w:val="标题 7 Char"/>
    <w:basedOn w:val="49"/>
    <w:link w:val="10"/>
    <w:qFormat/>
    <w:uiPriority w:val="0"/>
    <w:rPr>
      <w:rFonts w:ascii="Times New Roman" w:hAnsi="Times New Roman" w:eastAsia="宋体" w:cs="Times New Roman"/>
      <w:b/>
      <w:bCs/>
      <w:kern w:val="0"/>
      <w:sz w:val="24"/>
      <w:szCs w:val="24"/>
    </w:rPr>
  </w:style>
  <w:style w:type="character" w:customStyle="1" w:styleId="66">
    <w:name w:val="标题 8 Char"/>
    <w:basedOn w:val="49"/>
    <w:link w:val="11"/>
    <w:qFormat/>
    <w:uiPriority w:val="0"/>
    <w:rPr>
      <w:rFonts w:ascii="Arial" w:hAnsi="Arial" w:eastAsia="黑体" w:cs="Times New Roman"/>
      <w:kern w:val="0"/>
      <w:sz w:val="24"/>
      <w:szCs w:val="24"/>
    </w:rPr>
  </w:style>
  <w:style w:type="character" w:customStyle="1" w:styleId="67">
    <w:name w:val="标题 9 Char"/>
    <w:basedOn w:val="49"/>
    <w:link w:val="12"/>
    <w:qFormat/>
    <w:uiPriority w:val="0"/>
    <w:rPr>
      <w:rFonts w:ascii="Arial" w:hAnsi="Arial" w:eastAsia="黑体" w:cs="Times New Roman"/>
      <w:kern w:val="0"/>
      <w:szCs w:val="21"/>
    </w:rPr>
  </w:style>
  <w:style w:type="character" w:customStyle="1" w:styleId="68">
    <w:name w:val="列表编号 Char"/>
    <w:link w:val="15"/>
    <w:qFormat/>
    <w:uiPriority w:val="0"/>
    <w:rPr>
      <w:rFonts w:ascii="等线" w:hAnsi="等线" w:eastAsia="楷体_GB2312" w:cs="Times New Roman"/>
      <w:sz w:val="24"/>
      <w:szCs w:val="24"/>
    </w:rPr>
  </w:style>
  <w:style w:type="character" w:customStyle="1" w:styleId="69">
    <w:name w:val="正文缩进 Char"/>
    <w:link w:val="16"/>
    <w:qFormat/>
    <w:uiPriority w:val="0"/>
    <w:rPr>
      <w:rFonts w:ascii="等线" w:hAnsi="等线" w:eastAsia="宋体" w:cs="Times New Roman"/>
      <w:szCs w:val="24"/>
    </w:rPr>
  </w:style>
  <w:style w:type="character" w:customStyle="1" w:styleId="70">
    <w:name w:val="题注 Char"/>
    <w:link w:val="17"/>
    <w:qFormat/>
    <w:uiPriority w:val="0"/>
    <w:rPr>
      <w:rFonts w:ascii="Arial" w:hAnsi="Arial" w:eastAsia="黑体" w:cs="Arial"/>
      <w:kern w:val="2"/>
    </w:rPr>
  </w:style>
  <w:style w:type="character" w:customStyle="1" w:styleId="71">
    <w:name w:val="文档结构图 Char2"/>
    <w:basedOn w:val="49"/>
    <w:link w:val="18"/>
    <w:qFormat/>
    <w:uiPriority w:val="0"/>
    <w:rPr>
      <w:rFonts w:ascii="宋体" w:hAnsi="Calibri"/>
      <w:sz w:val="18"/>
      <w:szCs w:val="18"/>
    </w:rPr>
  </w:style>
  <w:style w:type="character" w:customStyle="1" w:styleId="72">
    <w:name w:val="批注文字 Char"/>
    <w:basedOn w:val="49"/>
    <w:link w:val="19"/>
    <w:qFormat/>
    <w:uiPriority w:val="0"/>
    <w:rPr>
      <w:rFonts w:eastAsia="宋体" w:cs="Lucida Sans"/>
    </w:rPr>
  </w:style>
  <w:style w:type="character" w:customStyle="1" w:styleId="73">
    <w:name w:val="正文文本 3 Char1"/>
    <w:basedOn w:val="49"/>
    <w:link w:val="20"/>
    <w:qFormat/>
    <w:uiPriority w:val="0"/>
    <w:rPr>
      <w:sz w:val="16"/>
      <w:szCs w:val="16"/>
    </w:rPr>
  </w:style>
  <w:style w:type="character" w:customStyle="1" w:styleId="74">
    <w:name w:val="正文文本 Char"/>
    <w:basedOn w:val="49"/>
    <w:link w:val="21"/>
    <w:qFormat/>
    <w:uiPriority w:val="0"/>
    <w:rPr>
      <w:rFonts w:ascii="等线" w:hAnsi="等线" w:eastAsia="宋体" w:cs="Times New Roman"/>
      <w:szCs w:val="24"/>
    </w:rPr>
  </w:style>
  <w:style w:type="character" w:customStyle="1" w:styleId="75">
    <w:name w:val="目录 3 Char"/>
    <w:link w:val="25"/>
    <w:qFormat/>
    <w:uiPriority w:val="39"/>
    <w:rPr>
      <w:rFonts w:ascii="Arial" w:hAnsi="Arial" w:eastAsia="宋体" w:cs="Times New Roman"/>
      <w:smallCaps/>
      <w:kern w:val="2"/>
      <w:szCs w:val="24"/>
    </w:rPr>
  </w:style>
  <w:style w:type="character" w:customStyle="1" w:styleId="76">
    <w:name w:val="日期 Char"/>
    <w:basedOn w:val="49"/>
    <w:link w:val="28"/>
    <w:qFormat/>
    <w:uiPriority w:val="0"/>
    <w:rPr>
      <w:rFonts w:ascii="等线" w:hAnsi="等线" w:eastAsia="宋体" w:cs="Times New Roman"/>
      <w:szCs w:val="24"/>
    </w:rPr>
  </w:style>
  <w:style w:type="character" w:customStyle="1" w:styleId="77">
    <w:name w:val="纯文本 Char1"/>
    <w:link w:val="26"/>
    <w:qFormat/>
    <w:uiPriority w:val="0"/>
    <w:rPr>
      <w:rFonts w:ascii="??" w:hAnsi="??" w:eastAsia="??" w:cs="宋体"/>
      <w:szCs w:val="21"/>
    </w:rPr>
  </w:style>
  <w:style w:type="character" w:customStyle="1" w:styleId="78">
    <w:name w:val="正文文本缩进 2 Char1"/>
    <w:basedOn w:val="49"/>
    <w:link w:val="29"/>
    <w:qFormat/>
    <w:uiPriority w:val="0"/>
    <w:rPr>
      <w:rFonts w:ascii="宋体"/>
      <w:color w:val="000000"/>
      <w:kern w:val="0"/>
      <w:sz w:val="24"/>
      <w:szCs w:val="20"/>
    </w:rPr>
  </w:style>
  <w:style w:type="character" w:customStyle="1" w:styleId="79">
    <w:name w:val="批注框文本 Char"/>
    <w:basedOn w:val="49"/>
    <w:link w:val="30"/>
    <w:qFormat/>
    <w:uiPriority w:val="99"/>
    <w:rPr>
      <w:rFonts w:ascii="等线" w:hAnsi="等线" w:eastAsia="宋体" w:cs="Times New Roman"/>
      <w:sz w:val="18"/>
      <w:szCs w:val="18"/>
    </w:rPr>
  </w:style>
  <w:style w:type="character" w:customStyle="1" w:styleId="80">
    <w:name w:val="页脚 Char"/>
    <w:basedOn w:val="49"/>
    <w:link w:val="31"/>
    <w:qFormat/>
    <w:uiPriority w:val="0"/>
    <w:rPr>
      <w:sz w:val="18"/>
      <w:szCs w:val="18"/>
    </w:rPr>
  </w:style>
  <w:style w:type="character" w:customStyle="1" w:styleId="81">
    <w:name w:val="页眉 Char"/>
    <w:basedOn w:val="49"/>
    <w:link w:val="32"/>
    <w:qFormat/>
    <w:uiPriority w:val="0"/>
    <w:rPr>
      <w:sz w:val="18"/>
      <w:szCs w:val="18"/>
    </w:rPr>
  </w:style>
  <w:style w:type="character" w:customStyle="1" w:styleId="82">
    <w:name w:val="副标题 Char"/>
    <w:basedOn w:val="49"/>
    <w:link w:val="35"/>
    <w:qFormat/>
    <w:uiPriority w:val="0"/>
    <w:rPr>
      <w:rFonts w:ascii="Cambria" w:hAnsi="Cambria" w:eastAsia="宋体" w:cs="Times New Roman"/>
      <w:b/>
      <w:bCs/>
      <w:kern w:val="28"/>
      <w:sz w:val="32"/>
      <w:szCs w:val="32"/>
    </w:rPr>
  </w:style>
  <w:style w:type="character" w:customStyle="1" w:styleId="83">
    <w:name w:val="脚注文本 Char"/>
    <w:basedOn w:val="49"/>
    <w:link w:val="37"/>
    <w:qFormat/>
    <w:uiPriority w:val="0"/>
    <w:rPr>
      <w:rFonts w:ascii="Times New Roman" w:hAnsi="Times New Roman" w:eastAsia="FangSong_GB2312" w:cs="Times New Roman"/>
      <w:sz w:val="18"/>
      <w:szCs w:val="20"/>
    </w:rPr>
  </w:style>
  <w:style w:type="character" w:customStyle="1" w:styleId="84">
    <w:name w:val="正文文本缩进 3 Char1"/>
    <w:basedOn w:val="49"/>
    <w:link w:val="39"/>
    <w:qFormat/>
    <w:uiPriority w:val="0"/>
    <w:rPr>
      <w:rFonts w:ascii="宋体"/>
      <w:b/>
      <w:color w:val="000000"/>
      <w:kern w:val="0"/>
      <w:sz w:val="36"/>
      <w:szCs w:val="24"/>
    </w:rPr>
  </w:style>
  <w:style w:type="character" w:customStyle="1" w:styleId="85">
    <w:name w:val="正文文本 2 Char1"/>
    <w:basedOn w:val="49"/>
    <w:link w:val="41"/>
    <w:qFormat/>
    <w:uiPriority w:val="0"/>
    <w:rPr>
      <w:rFonts w:ascii="宋体"/>
      <w:color w:val="000000"/>
      <w:kern w:val="0"/>
      <w:sz w:val="24"/>
      <w:szCs w:val="24"/>
    </w:rPr>
  </w:style>
  <w:style w:type="character" w:customStyle="1" w:styleId="86">
    <w:name w:val="HTML 预设格式 Char"/>
    <w:basedOn w:val="49"/>
    <w:link w:val="42"/>
    <w:qFormat/>
    <w:uiPriority w:val="0"/>
    <w:rPr>
      <w:rFonts w:ascii="宋体" w:hAnsi="宋体" w:eastAsia="宋体" w:cs="宋体"/>
      <w:kern w:val="0"/>
      <w:sz w:val="24"/>
      <w:szCs w:val="24"/>
    </w:rPr>
  </w:style>
  <w:style w:type="character" w:customStyle="1" w:styleId="87">
    <w:name w:val="普通(网站) Char"/>
    <w:link w:val="43"/>
    <w:qFormat/>
    <w:uiPriority w:val="99"/>
    <w:rPr>
      <w:rFonts w:ascii="??" w:hAnsi="??" w:eastAsia="??" w:cs="宋体"/>
      <w:sz w:val="24"/>
      <w:szCs w:val="24"/>
    </w:rPr>
  </w:style>
  <w:style w:type="character" w:customStyle="1" w:styleId="88">
    <w:name w:val="标题 Char"/>
    <w:basedOn w:val="49"/>
    <w:link w:val="44"/>
    <w:qFormat/>
    <w:uiPriority w:val="10"/>
    <w:rPr>
      <w:rFonts w:eastAsia="宋体" w:asciiTheme="majorHAnsi" w:hAnsiTheme="majorHAnsi" w:cstheme="majorBidi"/>
      <w:b/>
      <w:bCs/>
      <w:sz w:val="36"/>
      <w:szCs w:val="32"/>
    </w:rPr>
  </w:style>
  <w:style w:type="character" w:customStyle="1" w:styleId="89">
    <w:name w:val="批注主题 Char"/>
    <w:basedOn w:val="72"/>
    <w:link w:val="45"/>
    <w:qFormat/>
    <w:uiPriority w:val="0"/>
    <w:rPr>
      <w:rFonts w:ascii="Times New Roman" w:hAnsi="Times New Roman" w:eastAsia="宋体" w:cs="Times New Roman"/>
      <w:b/>
      <w:bCs/>
      <w:szCs w:val="24"/>
    </w:rPr>
  </w:style>
  <w:style w:type="character" w:customStyle="1" w:styleId="90">
    <w:name w:val="正文首行缩进 Char"/>
    <w:basedOn w:val="74"/>
    <w:link w:val="46"/>
    <w:qFormat/>
    <w:uiPriority w:val="99"/>
    <w:rPr>
      <w:rFonts w:ascii="等线" w:hAnsi="等线" w:eastAsia="宋体" w:cs="Times New Roman"/>
      <w:szCs w:val="24"/>
    </w:rPr>
  </w:style>
  <w:style w:type="character" w:customStyle="1" w:styleId="91">
    <w:name w:val="正文首行缩进 2 Char"/>
    <w:basedOn w:val="58"/>
    <w:link w:val="2"/>
    <w:qFormat/>
    <w:uiPriority w:val="0"/>
    <w:rPr>
      <w:rFonts w:ascii="等线" w:hAnsi="等线" w:eastAsia="宋体" w:cs="Times New Roman"/>
      <w:sz w:val="28"/>
      <w:szCs w:val="24"/>
    </w:rPr>
  </w:style>
  <w:style w:type="character" w:customStyle="1" w:styleId="92">
    <w:name w:val="纯文本 Char"/>
    <w:basedOn w:val="49"/>
    <w:qFormat/>
    <w:uiPriority w:val="0"/>
    <w:rPr>
      <w:rFonts w:ascii="宋体" w:hAnsi="Courier New" w:eastAsia="宋体" w:cs="Courier New"/>
      <w:szCs w:val="21"/>
    </w:rPr>
  </w:style>
  <w:style w:type="character" w:customStyle="1" w:styleId="93">
    <w:name w:val="*正文 Char"/>
    <w:link w:val="94"/>
    <w:qFormat/>
    <w:uiPriority w:val="0"/>
    <w:rPr>
      <w:rFonts w:ascii="宋体" w:hAnsi="宋体"/>
      <w:sz w:val="22"/>
    </w:rPr>
  </w:style>
  <w:style w:type="paragraph" w:customStyle="1" w:styleId="94">
    <w:name w:val="*正文"/>
    <w:basedOn w:val="1"/>
    <w:link w:val="93"/>
    <w:qFormat/>
    <w:uiPriority w:val="0"/>
    <w:pPr>
      <w:spacing w:line="360" w:lineRule="auto"/>
      <w:ind w:left="420" w:leftChars="200" w:firstLine="200" w:firstLineChars="200"/>
    </w:pPr>
    <w:rPr>
      <w:rFonts w:ascii="宋体" w:hAnsi="宋体" w:eastAsiaTheme="minorEastAsia" w:cstheme="minorBidi"/>
      <w:sz w:val="22"/>
      <w:szCs w:val="22"/>
    </w:rPr>
  </w:style>
  <w:style w:type="paragraph" w:customStyle="1" w:styleId="95">
    <w:name w:val="表格用"/>
    <w:basedOn w:val="1"/>
    <w:qFormat/>
    <w:uiPriority w:val="0"/>
    <w:rPr>
      <w:kern w:val="0"/>
    </w:rPr>
  </w:style>
  <w:style w:type="character" w:customStyle="1" w:styleId="96">
    <w:name w:val="文档结构图 Char"/>
    <w:basedOn w:val="49"/>
    <w:qFormat/>
    <w:uiPriority w:val="0"/>
    <w:rPr>
      <w:rFonts w:ascii="宋体" w:hAnsi="等线" w:eastAsia="宋体" w:cs="Times New Roman"/>
      <w:sz w:val="18"/>
      <w:szCs w:val="18"/>
    </w:rPr>
  </w:style>
  <w:style w:type="character" w:customStyle="1" w:styleId="97">
    <w:name w:val="正文文本 3 Char"/>
    <w:basedOn w:val="49"/>
    <w:qFormat/>
    <w:uiPriority w:val="0"/>
    <w:rPr>
      <w:rFonts w:ascii="等线" w:hAnsi="等线" w:eastAsia="宋体" w:cs="Times New Roman"/>
      <w:sz w:val="16"/>
      <w:szCs w:val="16"/>
    </w:rPr>
  </w:style>
  <w:style w:type="character" w:customStyle="1" w:styleId="98">
    <w:name w:val="正文文本缩进 2 Char"/>
    <w:basedOn w:val="49"/>
    <w:qFormat/>
    <w:uiPriority w:val="0"/>
    <w:rPr>
      <w:rFonts w:ascii="等线" w:hAnsi="等线" w:eastAsia="宋体" w:cs="Times New Roman"/>
      <w:szCs w:val="24"/>
    </w:rPr>
  </w:style>
  <w:style w:type="character" w:customStyle="1" w:styleId="99">
    <w:name w:val="正文文本缩进 3 Char"/>
    <w:basedOn w:val="49"/>
    <w:qFormat/>
    <w:uiPriority w:val="0"/>
    <w:rPr>
      <w:rFonts w:ascii="等线" w:hAnsi="等线" w:eastAsia="宋体" w:cs="Times New Roman"/>
      <w:sz w:val="16"/>
      <w:szCs w:val="16"/>
    </w:rPr>
  </w:style>
  <w:style w:type="character" w:customStyle="1" w:styleId="100">
    <w:name w:val="正文文本 2 Char"/>
    <w:basedOn w:val="49"/>
    <w:qFormat/>
    <w:uiPriority w:val="0"/>
    <w:rPr>
      <w:rFonts w:ascii="等线" w:hAnsi="等线" w:eastAsia="宋体" w:cs="Times New Roman"/>
      <w:szCs w:val="24"/>
    </w:rPr>
  </w:style>
  <w:style w:type="paragraph" w:customStyle="1" w:styleId="101">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102">
    <w:name w:val="列出段落1"/>
    <w:basedOn w:val="1"/>
    <w:qFormat/>
    <w:uiPriority w:val="34"/>
    <w:pPr>
      <w:snapToGrid w:val="0"/>
      <w:spacing w:line="276" w:lineRule="auto"/>
      <w:ind w:firstLine="420" w:firstLineChars="200"/>
    </w:pPr>
    <w:rPr>
      <w:rFonts w:ascii="Calibri" w:hAnsi="Calibri" w:eastAsia="微软雅黑"/>
      <w:sz w:val="24"/>
      <w:szCs w:val="21"/>
    </w:rPr>
  </w:style>
  <w:style w:type="paragraph" w:customStyle="1" w:styleId="103">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104">
    <w:name w:val="Default"/>
    <w:next w:val="31"/>
    <w:link w:val="10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5">
    <w:name w:val="Default Char"/>
    <w:link w:val="104"/>
    <w:qFormat/>
    <w:uiPriority w:val="0"/>
    <w:rPr>
      <w:rFonts w:ascii="宋体" w:hAnsi="Times New Roman" w:eastAsia="宋体" w:cs="宋体"/>
      <w:color w:val="000000"/>
      <w:sz w:val="24"/>
      <w:szCs w:val="24"/>
    </w:rPr>
  </w:style>
  <w:style w:type="character" w:customStyle="1" w:styleId="106">
    <w:name w:val="正文文本缩进 Char1"/>
    <w:basedOn w:val="49"/>
    <w:qFormat/>
    <w:uiPriority w:val="99"/>
    <w:rPr>
      <w:rFonts w:ascii="等线" w:hAnsi="等线" w:eastAsia="宋体" w:cs="Times New Roman"/>
      <w:szCs w:val="24"/>
    </w:rPr>
  </w:style>
  <w:style w:type="paragraph" w:customStyle="1" w:styleId="107">
    <w:name w:val="WPSOffice手动目录 1"/>
    <w:qFormat/>
    <w:uiPriority w:val="0"/>
    <w:rPr>
      <w:rFonts w:ascii="Times New Roman" w:hAnsi="Times New Roman" w:eastAsia="宋体" w:cs="Times New Roman"/>
      <w:lang w:val="en-US" w:eastAsia="zh-CN" w:bidi="ar-SA"/>
    </w:rPr>
  </w:style>
  <w:style w:type="character" w:customStyle="1" w:styleId="108">
    <w:name w:val="正文2 Char"/>
    <w:link w:val="109"/>
    <w:qFormat/>
    <w:locked/>
    <w:uiPriority w:val="0"/>
    <w:rPr>
      <w:rFonts w:eastAsia="??"/>
      <w:sz w:val="24"/>
      <w:szCs w:val="28"/>
    </w:rPr>
  </w:style>
  <w:style w:type="paragraph" w:customStyle="1" w:styleId="109">
    <w:name w:val="正文2"/>
    <w:basedOn w:val="1"/>
    <w:link w:val="108"/>
    <w:qFormat/>
    <w:uiPriority w:val="0"/>
    <w:pPr>
      <w:spacing w:before="156" w:line="360" w:lineRule="auto"/>
      <w:ind w:firstLine="200" w:firstLineChars="200"/>
    </w:pPr>
    <w:rPr>
      <w:rFonts w:eastAsia="??" w:asciiTheme="minorHAnsi" w:hAnsiTheme="minorHAnsi" w:cstheme="minorBidi"/>
      <w:sz w:val="24"/>
      <w:szCs w:val="28"/>
    </w:rPr>
  </w:style>
  <w:style w:type="character" w:customStyle="1" w:styleId="110">
    <w:name w:val="批注文字 Char1"/>
    <w:basedOn w:val="49"/>
    <w:semiHidden/>
    <w:qFormat/>
    <w:uiPriority w:val="99"/>
    <w:rPr>
      <w:rFonts w:ascii="等线" w:hAnsi="等线" w:eastAsia="宋体" w:cs="Times New Roman"/>
      <w:szCs w:val="24"/>
    </w:rPr>
  </w:style>
  <w:style w:type="paragraph" w:styleId="111">
    <w:name w:val="List Paragraph"/>
    <w:basedOn w:val="1"/>
    <w:link w:val="112"/>
    <w:qFormat/>
    <w:uiPriority w:val="34"/>
    <w:pPr>
      <w:widowControl/>
      <w:ind w:firstLine="200" w:firstLineChars="200"/>
      <w:jc w:val="left"/>
    </w:pPr>
    <w:rPr>
      <w:rFonts w:ascii="??" w:hAnsi="??" w:eastAsia="??" w:cs="??"/>
      <w:kern w:val="0"/>
      <w:sz w:val="24"/>
    </w:rPr>
  </w:style>
  <w:style w:type="character" w:customStyle="1" w:styleId="112">
    <w:name w:val="列出段落 Char"/>
    <w:link w:val="111"/>
    <w:qFormat/>
    <w:uiPriority w:val="34"/>
    <w:rPr>
      <w:rFonts w:ascii="??" w:hAnsi="??" w:eastAsia="??" w:cs="??"/>
      <w:kern w:val="0"/>
      <w:sz w:val="24"/>
      <w:szCs w:val="24"/>
    </w:rPr>
  </w:style>
  <w:style w:type="paragraph" w:customStyle="1" w:styleId="11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15">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1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14"/>
    <w:qFormat/>
    <w:uiPriority w:val="0"/>
    <w:rPr>
      <w:rFonts w:ascii="Times New Roman" w:hAnsi="Times New Roman" w:eastAsia="宋体" w:cs="Times New Roman"/>
      <w:sz w:val="21"/>
      <w:szCs w:val="22"/>
      <w:lang w:val="en-US" w:eastAsia="zh-CN" w:bidi="ar-SA"/>
    </w:rPr>
  </w:style>
  <w:style w:type="paragraph" w:customStyle="1" w:styleId="11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纯文本_3"/>
    <w:basedOn w:val="121"/>
    <w:link w:val="123"/>
    <w:qFormat/>
    <w:uiPriority w:val="0"/>
    <w:pPr>
      <w:widowControl/>
      <w:jc w:val="left"/>
    </w:pPr>
    <w:rPr>
      <w:rFonts w:ascii="宋体" w:hAnsi="Courier New" w:eastAsiaTheme="minorEastAsia" w:cstheme="minorBidi"/>
      <w:szCs w:val="21"/>
    </w:rPr>
  </w:style>
  <w:style w:type="character" w:customStyle="1" w:styleId="123">
    <w:name w:val="纯文本 Char_3"/>
    <w:link w:val="122"/>
    <w:qFormat/>
    <w:uiPriority w:val="0"/>
    <w:rPr>
      <w:rFonts w:ascii="宋体" w:hAnsi="Courier New"/>
      <w:szCs w:val="21"/>
    </w:rPr>
  </w:style>
  <w:style w:type="paragraph" w:customStyle="1" w:styleId="124">
    <w:name w:val="纯文本_0_1"/>
    <w:basedOn w:val="1"/>
    <w:link w:val="125"/>
    <w:qFormat/>
    <w:uiPriority w:val="0"/>
    <w:pPr>
      <w:widowControl/>
      <w:jc w:val="left"/>
    </w:pPr>
    <w:rPr>
      <w:rFonts w:ascii="宋体" w:hAnsi="Courier New" w:eastAsiaTheme="minorEastAsia" w:cstheme="minorBidi"/>
      <w:szCs w:val="21"/>
    </w:rPr>
  </w:style>
  <w:style w:type="character" w:customStyle="1" w:styleId="125">
    <w:name w:val="纯文本 Char_1_0"/>
    <w:link w:val="124"/>
    <w:qFormat/>
    <w:uiPriority w:val="0"/>
    <w:rPr>
      <w:rFonts w:ascii="宋体" w:hAnsi="Courier New"/>
      <w:szCs w:val="21"/>
    </w:rPr>
  </w:style>
  <w:style w:type="paragraph" w:customStyle="1" w:styleId="126">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9">
    <w:name w:val="纯文本 Char_1"/>
    <w:link w:val="130"/>
    <w:qFormat/>
    <w:uiPriority w:val="0"/>
    <w:rPr>
      <w:rFonts w:ascii="宋体" w:hAnsi="Courier New"/>
      <w:szCs w:val="21"/>
    </w:rPr>
  </w:style>
  <w:style w:type="paragraph" w:customStyle="1" w:styleId="130">
    <w:name w:val="纯文本_1"/>
    <w:basedOn w:val="1"/>
    <w:link w:val="129"/>
    <w:qFormat/>
    <w:uiPriority w:val="0"/>
    <w:pPr>
      <w:widowControl/>
      <w:jc w:val="left"/>
    </w:pPr>
    <w:rPr>
      <w:rFonts w:ascii="宋体" w:hAnsi="Courier New" w:eastAsiaTheme="minorEastAsia" w:cstheme="minorBidi"/>
      <w:szCs w:val="21"/>
    </w:rPr>
  </w:style>
  <w:style w:type="paragraph" w:customStyle="1" w:styleId="131">
    <w:name w:val="纯文本1"/>
    <w:basedOn w:val="132"/>
    <w:qFormat/>
    <w:uiPriority w:val="0"/>
    <w:pPr>
      <w:widowControl/>
      <w:jc w:val="left"/>
    </w:pPr>
    <w:rPr>
      <w:rFonts w:ascii="宋体" w:hAnsi="Courier New"/>
    </w:rPr>
  </w:style>
  <w:style w:type="paragraph" w:customStyle="1" w:styleId="13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3">
    <w:name w:val="p0"/>
    <w:basedOn w:val="1"/>
    <w:qFormat/>
    <w:uiPriority w:val="0"/>
    <w:pPr>
      <w:widowControl/>
    </w:pPr>
    <w:rPr>
      <w:rFonts w:ascii="宋体" w:hAnsi="宋体" w:cs="宋体"/>
      <w:kern w:val="0"/>
      <w:szCs w:val="21"/>
    </w:rPr>
  </w:style>
  <w:style w:type="paragraph" w:customStyle="1" w:styleId="134">
    <w:name w:val="_Style 2"/>
    <w:qFormat/>
    <w:uiPriority w:val="0"/>
    <w:pPr>
      <w:adjustRightInd w:val="0"/>
      <w:snapToGrid w:val="0"/>
    </w:pPr>
    <w:rPr>
      <w:rFonts w:ascii="Tahoma" w:hAnsi="Tahoma" w:eastAsia="微软雅黑" w:cs="Tahoma"/>
      <w:sz w:val="22"/>
      <w:szCs w:val="22"/>
      <w:lang w:val="en-US" w:eastAsia="zh-CN" w:bidi="ar-SA"/>
    </w:rPr>
  </w:style>
  <w:style w:type="character" w:customStyle="1" w:styleId="135">
    <w:name w:val="内容文本 Char"/>
    <w:link w:val="136"/>
    <w:qFormat/>
    <w:uiPriority w:val="0"/>
    <w:rPr>
      <w:rFonts w:ascii="宋体" w:hAnsi="宋体"/>
      <w:sz w:val="24"/>
      <w:szCs w:val="24"/>
      <w:lang w:eastAsia="en-US" w:bidi="en-US"/>
    </w:rPr>
  </w:style>
  <w:style w:type="paragraph" w:customStyle="1" w:styleId="136">
    <w:name w:val="内容文本"/>
    <w:basedOn w:val="1"/>
    <w:link w:val="135"/>
    <w:qFormat/>
    <w:uiPriority w:val="0"/>
    <w:pPr>
      <w:spacing w:line="360" w:lineRule="auto"/>
      <w:ind w:firstLine="200" w:firstLineChars="200"/>
      <w:contextualSpacing/>
      <w:jc w:val="left"/>
    </w:pPr>
    <w:rPr>
      <w:rFonts w:ascii="宋体" w:hAnsi="宋体" w:eastAsiaTheme="minorEastAsia" w:cstheme="minorBidi"/>
      <w:sz w:val="24"/>
      <w:lang w:eastAsia="en-US" w:bidi="en-US"/>
    </w:rPr>
  </w:style>
  <w:style w:type="character" w:customStyle="1" w:styleId="137">
    <w:name w:val="样式1 Char_1"/>
    <w:link w:val="138"/>
    <w:qFormat/>
    <w:uiPriority w:val="0"/>
    <w:rPr>
      <w:rFonts w:ascii="宋体" w:hAnsi="Arial"/>
      <w:b/>
      <w:sz w:val="32"/>
    </w:rPr>
  </w:style>
  <w:style w:type="paragraph" w:customStyle="1" w:styleId="138">
    <w:name w:val="样式1_1"/>
    <w:basedOn w:val="1"/>
    <w:link w:val="137"/>
    <w:qFormat/>
    <w:uiPriority w:val="0"/>
    <w:pPr>
      <w:keepNext/>
      <w:keepLines/>
      <w:widowControl/>
      <w:tabs>
        <w:tab w:val="left" w:pos="420"/>
      </w:tabs>
      <w:adjustRightInd w:val="0"/>
      <w:snapToGrid w:val="0"/>
      <w:spacing w:line="360" w:lineRule="auto"/>
      <w:ind w:left="420" w:hanging="420"/>
      <w:jc w:val="center"/>
      <w:outlineLvl w:val="1"/>
    </w:pPr>
    <w:rPr>
      <w:rFonts w:ascii="宋体" w:hAnsi="Arial" w:eastAsiaTheme="minorEastAsia" w:cstheme="minorBidi"/>
      <w:b/>
      <w:sz w:val="32"/>
      <w:szCs w:val="22"/>
    </w:rPr>
  </w:style>
  <w:style w:type="character" w:customStyle="1" w:styleId="139">
    <w:name w:val="列出段落 Char1"/>
    <w:basedOn w:val="49"/>
    <w:qFormat/>
    <w:uiPriority w:val="34"/>
  </w:style>
  <w:style w:type="character" w:customStyle="1" w:styleId="140">
    <w:name w:val="标题 4 Char1"/>
    <w:qFormat/>
    <w:uiPriority w:val="0"/>
    <w:rPr>
      <w:rFonts w:ascii="Cambria" w:hAnsi="Cambria" w:eastAsia="宋体" w:cs="Times New Roman"/>
      <w:b/>
      <w:bCs/>
      <w:sz w:val="28"/>
      <w:szCs w:val="28"/>
    </w:rPr>
  </w:style>
  <w:style w:type="character" w:customStyle="1" w:styleId="141">
    <w:name w:val="p141"/>
    <w:qFormat/>
    <w:uiPriority w:val="0"/>
    <w:rPr>
      <w:sz w:val="21"/>
      <w:szCs w:val="21"/>
    </w:rPr>
  </w:style>
  <w:style w:type="character" w:customStyle="1" w:styleId="142">
    <w:name w:val="样式5 Char"/>
    <w:link w:val="143"/>
    <w:qFormat/>
    <w:uiPriority w:val="0"/>
    <w:rPr>
      <w:rFonts w:ascii="方正书宋简体" w:hAnsi="Calibri" w:eastAsia="方正书宋简体" w:cs="黑体"/>
    </w:rPr>
  </w:style>
  <w:style w:type="paragraph" w:customStyle="1" w:styleId="143">
    <w:name w:val="样式5"/>
    <w:basedOn w:val="1"/>
    <w:link w:val="142"/>
    <w:qFormat/>
    <w:uiPriority w:val="0"/>
    <w:pPr>
      <w:spacing w:line="340" w:lineRule="exact"/>
      <w:ind w:firstLine="420" w:firstLineChars="200"/>
    </w:pPr>
    <w:rPr>
      <w:rFonts w:ascii="方正书宋简体" w:hAnsi="Calibri" w:eastAsia="方正书宋简体" w:cs="黑体"/>
      <w:szCs w:val="22"/>
    </w:rPr>
  </w:style>
  <w:style w:type="character" w:customStyle="1" w:styleId="144">
    <w:name w:val="正文文本 Char1"/>
    <w:qFormat/>
    <w:uiPriority w:val="99"/>
    <w:rPr>
      <w:rFonts w:eastAsia="Times New Roman"/>
      <w:kern w:val="2"/>
      <w:sz w:val="24"/>
      <w:szCs w:val="24"/>
    </w:rPr>
  </w:style>
  <w:style w:type="character" w:customStyle="1" w:styleId="145">
    <w:name w:val="日期 Char1"/>
    <w:qFormat/>
    <w:uiPriority w:val="99"/>
    <w:rPr>
      <w:rFonts w:ascii="Calibri" w:hAnsi="Calibri" w:eastAsia="楷体_GB2312"/>
      <w:kern w:val="2"/>
      <w:sz w:val="32"/>
      <w:szCs w:val="22"/>
    </w:rPr>
  </w:style>
  <w:style w:type="character" w:customStyle="1" w:styleId="146">
    <w:name w:val="标题 Char1"/>
    <w:qFormat/>
    <w:uiPriority w:val="10"/>
    <w:rPr>
      <w:rFonts w:ascii="Cambria" w:hAnsi="Cambria" w:eastAsia="Times New Roman"/>
      <w:b/>
      <w:bCs/>
      <w:kern w:val="2"/>
      <w:sz w:val="32"/>
      <w:szCs w:val="32"/>
    </w:rPr>
  </w:style>
  <w:style w:type="character" w:customStyle="1" w:styleId="147">
    <w:name w:val="标题 3 Char1"/>
    <w:qFormat/>
    <w:uiPriority w:val="9"/>
    <w:rPr>
      <w:b/>
      <w:bCs/>
      <w:sz w:val="32"/>
      <w:szCs w:val="32"/>
    </w:rPr>
  </w:style>
  <w:style w:type="paragraph" w:customStyle="1" w:styleId="148">
    <w:name w:val="正文首行缩进1"/>
    <w:basedOn w:val="21"/>
    <w:next w:val="1"/>
    <w:qFormat/>
    <w:uiPriority w:val="0"/>
    <w:pPr>
      <w:widowControl/>
      <w:ind w:firstLine="420" w:firstLineChars="100"/>
      <w:jc w:val="left"/>
    </w:pPr>
    <w:rPr>
      <w:rFonts w:ascii="Calibri" w:hAnsi="Calibri" w:eastAsia="Times New Roman" w:cs="黑体"/>
      <w:szCs w:val="22"/>
    </w:rPr>
  </w:style>
  <w:style w:type="character" w:customStyle="1" w:styleId="149">
    <w:name w:val="样式1 Char"/>
    <w:link w:val="150"/>
    <w:qFormat/>
    <w:uiPriority w:val="0"/>
    <w:rPr>
      <w:rFonts w:ascii="宋体" w:hAnsi="Arial"/>
      <w:b/>
      <w:sz w:val="32"/>
    </w:rPr>
  </w:style>
  <w:style w:type="paragraph" w:customStyle="1" w:styleId="150">
    <w:name w:val="样式1_0"/>
    <w:basedOn w:val="1"/>
    <w:link w:val="149"/>
    <w:qFormat/>
    <w:uiPriority w:val="0"/>
    <w:pPr>
      <w:keepNext/>
      <w:keepLines/>
      <w:widowControl/>
      <w:tabs>
        <w:tab w:val="left" w:pos="420"/>
      </w:tabs>
      <w:adjustRightInd w:val="0"/>
      <w:snapToGrid w:val="0"/>
      <w:spacing w:line="360" w:lineRule="auto"/>
      <w:ind w:left="420" w:hanging="420"/>
      <w:jc w:val="center"/>
      <w:outlineLvl w:val="1"/>
    </w:pPr>
    <w:rPr>
      <w:rFonts w:ascii="宋体" w:hAnsi="Arial" w:eastAsiaTheme="minorEastAsia" w:cstheme="minorBidi"/>
      <w:b/>
      <w:sz w:val="32"/>
      <w:szCs w:val="22"/>
    </w:rPr>
  </w:style>
  <w:style w:type="character" w:customStyle="1" w:styleId="151">
    <w:name w:val="样式44 Char"/>
    <w:basedOn w:val="62"/>
    <w:link w:val="152"/>
    <w:qFormat/>
    <w:uiPriority w:val="0"/>
    <w:rPr>
      <w:rFonts w:ascii="Cambria" w:hAnsi="Cambria" w:eastAsia="宋体" w:cs="Times New Roman"/>
      <w:sz w:val="28"/>
      <w:szCs w:val="28"/>
    </w:rPr>
  </w:style>
  <w:style w:type="paragraph" w:customStyle="1" w:styleId="152">
    <w:name w:val="样式44"/>
    <w:basedOn w:val="7"/>
    <w:link w:val="151"/>
    <w:qFormat/>
    <w:uiPriority w:val="0"/>
  </w:style>
  <w:style w:type="character" w:customStyle="1" w:styleId="153">
    <w:name w:val="apple-converted-space"/>
    <w:basedOn w:val="49"/>
    <w:qFormat/>
    <w:uiPriority w:val="0"/>
  </w:style>
  <w:style w:type="character" w:customStyle="1" w:styleId="154">
    <w:name w:val="纯文本 Char_0_0"/>
    <w:link w:val="155"/>
    <w:qFormat/>
    <w:locked/>
    <w:uiPriority w:val="0"/>
    <w:rPr>
      <w:rFonts w:ascii="宋体" w:hAnsi="Courier New"/>
      <w:szCs w:val="21"/>
    </w:rPr>
  </w:style>
  <w:style w:type="paragraph" w:customStyle="1" w:styleId="155">
    <w:name w:val="纯文本_0"/>
    <w:basedOn w:val="1"/>
    <w:link w:val="154"/>
    <w:unhideWhenUsed/>
    <w:qFormat/>
    <w:uiPriority w:val="0"/>
    <w:pPr>
      <w:widowControl/>
      <w:jc w:val="left"/>
    </w:pPr>
    <w:rPr>
      <w:rFonts w:ascii="宋体" w:hAnsi="Courier New" w:eastAsiaTheme="minorEastAsia" w:cstheme="minorBidi"/>
      <w:szCs w:val="21"/>
    </w:rPr>
  </w:style>
  <w:style w:type="character" w:customStyle="1" w:styleId="156">
    <w:name w:val="文档结构图 Char1"/>
    <w:qFormat/>
    <w:uiPriority w:val="99"/>
    <w:rPr>
      <w:rFonts w:ascii="宋体" w:hAnsi="Calibri"/>
      <w:kern w:val="2"/>
      <w:sz w:val="18"/>
      <w:szCs w:val="18"/>
    </w:rPr>
  </w:style>
  <w:style w:type="character" w:styleId="157">
    <w:name w:val="Placeholder Text"/>
    <w:semiHidden/>
    <w:qFormat/>
    <w:uiPriority w:val="99"/>
    <w:rPr>
      <w:color w:val="808080"/>
    </w:rPr>
  </w:style>
  <w:style w:type="character" w:customStyle="1" w:styleId="158">
    <w:name w:val="日期 Char2"/>
    <w:basedOn w:val="49"/>
    <w:semiHidden/>
    <w:qFormat/>
    <w:uiPriority w:val="99"/>
    <w:rPr>
      <w:kern w:val="2"/>
      <w:sz w:val="21"/>
    </w:rPr>
  </w:style>
  <w:style w:type="character" w:customStyle="1" w:styleId="159">
    <w:name w:val="批注文字 Char2"/>
    <w:basedOn w:val="49"/>
    <w:qFormat/>
    <w:uiPriority w:val="0"/>
    <w:rPr>
      <w:kern w:val="2"/>
      <w:sz w:val="21"/>
    </w:rPr>
  </w:style>
  <w:style w:type="character" w:customStyle="1" w:styleId="160">
    <w:name w:val="批注主题 Char1"/>
    <w:basedOn w:val="159"/>
    <w:semiHidden/>
    <w:qFormat/>
    <w:uiPriority w:val="99"/>
    <w:rPr>
      <w:b/>
      <w:bCs/>
      <w:kern w:val="2"/>
      <w:sz w:val="21"/>
    </w:rPr>
  </w:style>
  <w:style w:type="character" w:customStyle="1" w:styleId="161">
    <w:name w:val="正文文本缩进 Char2"/>
    <w:basedOn w:val="49"/>
    <w:qFormat/>
    <w:uiPriority w:val="0"/>
    <w:rPr>
      <w:kern w:val="2"/>
      <w:sz w:val="21"/>
    </w:rPr>
  </w:style>
  <w:style w:type="character" w:customStyle="1" w:styleId="162">
    <w:name w:val="正文首行缩进 2 Char1"/>
    <w:basedOn w:val="58"/>
    <w:qFormat/>
    <w:uiPriority w:val="0"/>
    <w:rPr>
      <w:rFonts w:ascii="??" w:hAnsi="??" w:eastAsia="??" w:cs="宋体"/>
      <w:kern w:val="2"/>
      <w:sz w:val="21"/>
      <w:szCs w:val="28"/>
    </w:rPr>
  </w:style>
  <w:style w:type="character" w:customStyle="1" w:styleId="163">
    <w:name w:val="页脚 Char1"/>
    <w:basedOn w:val="49"/>
    <w:semiHidden/>
    <w:qFormat/>
    <w:uiPriority w:val="99"/>
    <w:rPr>
      <w:kern w:val="2"/>
      <w:sz w:val="18"/>
      <w:szCs w:val="18"/>
    </w:rPr>
  </w:style>
  <w:style w:type="character" w:customStyle="1" w:styleId="164">
    <w:name w:val="正文首行缩进 Char1"/>
    <w:basedOn w:val="74"/>
    <w:qFormat/>
    <w:uiPriority w:val="99"/>
    <w:rPr>
      <w:rFonts w:ascii="等线" w:hAnsi="等线" w:eastAsia="宋体" w:cs="Times New Roman"/>
      <w:kern w:val="2"/>
      <w:sz w:val="21"/>
      <w:szCs w:val="24"/>
    </w:rPr>
  </w:style>
  <w:style w:type="character" w:customStyle="1" w:styleId="165">
    <w:name w:val="页眉 Char1"/>
    <w:basedOn w:val="49"/>
    <w:qFormat/>
    <w:uiPriority w:val="0"/>
    <w:rPr>
      <w:kern w:val="2"/>
      <w:sz w:val="18"/>
      <w:szCs w:val="18"/>
    </w:rPr>
  </w:style>
  <w:style w:type="character" w:customStyle="1" w:styleId="166">
    <w:name w:val="标题 Char2"/>
    <w:basedOn w:val="49"/>
    <w:qFormat/>
    <w:uiPriority w:val="10"/>
    <w:rPr>
      <w:rFonts w:asciiTheme="majorHAnsi" w:hAnsiTheme="majorHAnsi" w:cstheme="majorBidi"/>
      <w:b/>
      <w:bCs/>
      <w:kern w:val="2"/>
      <w:sz w:val="32"/>
      <w:szCs w:val="32"/>
    </w:rPr>
  </w:style>
  <w:style w:type="character" w:customStyle="1" w:styleId="167">
    <w:name w:val="批注框文本 Char1"/>
    <w:basedOn w:val="49"/>
    <w:semiHidden/>
    <w:qFormat/>
    <w:uiPriority w:val="99"/>
    <w:rPr>
      <w:kern w:val="2"/>
      <w:sz w:val="18"/>
      <w:szCs w:val="18"/>
    </w:rPr>
  </w:style>
  <w:style w:type="character" w:customStyle="1" w:styleId="168">
    <w:name w:val="纯文本 Char2"/>
    <w:basedOn w:val="49"/>
    <w:semiHidden/>
    <w:qFormat/>
    <w:uiPriority w:val="99"/>
    <w:rPr>
      <w:rFonts w:ascii="宋体" w:hAnsi="Courier New" w:cs="Courier New"/>
      <w:kern w:val="2"/>
      <w:sz w:val="21"/>
      <w:szCs w:val="21"/>
    </w:rPr>
  </w:style>
  <w:style w:type="paragraph" w:customStyle="1" w:styleId="16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70">
    <w:name w:val="默认段落字体 Para Char Char Char Char Char Char Char Char Char1 Char Char Char Char"/>
    <w:basedOn w:val="1"/>
    <w:qFormat/>
    <w:uiPriority w:val="0"/>
    <w:rPr>
      <w:rFonts w:ascii="Tahoma" w:hAnsi="Tahoma"/>
      <w:sz w:val="24"/>
      <w:szCs w:val="20"/>
    </w:rPr>
  </w:style>
  <w:style w:type="paragraph" w:customStyle="1" w:styleId="171">
    <w:name w:val="Char Char1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172">
    <w:name w:val="1"/>
    <w:basedOn w:val="1"/>
    <w:next w:val="26"/>
    <w:qFormat/>
    <w:uiPriority w:val="0"/>
    <w:rPr>
      <w:rFonts w:ascii="宋体" w:hAnsi="Courier New"/>
      <w:szCs w:val="22"/>
    </w:rPr>
  </w:style>
  <w:style w:type="paragraph" w:customStyle="1" w:styleId="173">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正文"/>
    <w:basedOn w:val="1"/>
    <w:qFormat/>
    <w:uiPriority w:val="99"/>
    <w:pPr>
      <w:spacing w:beforeLines="50" w:afterLines="50"/>
      <w:ind w:firstLine="200" w:firstLineChars="200"/>
    </w:pPr>
    <w:rPr>
      <w:rFonts w:ascii="Calibri" w:hAnsi="Calibri"/>
      <w:szCs w:val="22"/>
    </w:rPr>
  </w:style>
  <w:style w:type="paragraph" w:customStyle="1" w:styleId="175">
    <w:name w:val="列出段落3"/>
    <w:basedOn w:val="1"/>
    <w:qFormat/>
    <w:uiPriority w:val="99"/>
    <w:pPr>
      <w:ind w:firstLine="420" w:firstLineChars="200"/>
    </w:pPr>
    <w:rPr>
      <w:rFonts w:ascii="Calibri" w:hAnsi="Calibri"/>
      <w:szCs w:val="22"/>
    </w:rPr>
  </w:style>
  <w:style w:type="paragraph" w:customStyle="1" w:styleId="176">
    <w:name w:val="_Style 22"/>
    <w:basedOn w:val="1"/>
    <w:qFormat/>
    <w:uiPriority w:val="0"/>
    <w:rPr>
      <w:rFonts w:ascii="Times New Roman" w:hAnsi="Times New Roman"/>
    </w:rPr>
  </w:style>
  <w:style w:type="paragraph" w:customStyle="1" w:styleId="177">
    <w:name w:val="自定义正文"/>
    <w:basedOn w:val="1"/>
    <w:qFormat/>
    <w:uiPriority w:val="0"/>
    <w:pPr>
      <w:spacing w:before="120" w:after="60" w:line="400" w:lineRule="exact"/>
      <w:ind w:firstLine="200" w:firstLineChars="200"/>
    </w:pPr>
    <w:rPr>
      <w:rFonts w:ascii="FangSong_GB2312" w:hAnsi="Times New Roman" w:eastAsia="FangSong_GB2312"/>
    </w:rPr>
  </w:style>
  <w:style w:type="paragraph" w:customStyle="1" w:styleId="178">
    <w:name w:val="DAS正文"/>
    <w:basedOn w:val="1"/>
    <w:qFormat/>
    <w:uiPriority w:val="0"/>
    <w:pPr>
      <w:spacing w:line="360" w:lineRule="auto"/>
      <w:ind w:right="181" w:firstLine="480" w:firstLineChars="200"/>
    </w:pPr>
    <w:rPr>
      <w:rFonts w:ascii="Verdana" w:hAnsi="Verdana"/>
      <w:sz w:val="24"/>
      <w:szCs w:val="21"/>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Char1"/>
    <w:basedOn w:val="1"/>
    <w:qFormat/>
    <w:uiPriority w:val="0"/>
    <w:rPr>
      <w:rFonts w:ascii="Tahoma" w:hAnsi="Tahoma"/>
      <w:sz w:val="24"/>
      <w:szCs w:val="20"/>
    </w:rPr>
  </w:style>
  <w:style w:type="paragraph" w:customStyle="1" w:styleId="181">
    <w:name w:val="列出段落11"/>
    <w:basedOn w:val="1"/>
    <w:qFormat/>
    <w:uiPriority w:val="0"/>
    <w:pPr>
      <w:ind w:firstLine="200" w:firstLineChars="200"/>
    </w:pPr>
    <w:rPr>
      <w:rFonts w:ascii="Calibri" w:hAnsi="Calibri"/>
    </w:rPr>
  </w:style>
  <w:style w:type="paragraph" w:customStyle="1" w:styleId="182">
    <w:name w:val="Char"/>
    <w:basedOn w:val="1"/>
    <w:qFormat/>
    <w:uiPriority w:val="0"/>
    <w:rPr>
      <w:rFonts w:ascii="Times New Roman" w:hAnsi="Times New Roman"/>
    </w:rPr>
  </w:style>
  <w:style w:type="paragraph" w:customStyle="1" w:styleId="183">
    <w:name w:val="WW-正文文字缩进 2"/>
    <w:basedOn w:val="1"/>
    <w:qFormat/>
    <w:uiPriority w:val="0"/>
    <w:pPr>
      <w:suppressAutoHyphens/>
      <w:ind w:firstLine="420"/>
    </w:pPr>
    <w:rPr>
      <w:rFonts w:ascii="Times New Roman" w:hAnsi="Times New Roman"/>
      <w:kern w:val="1"/>
      <w:szCs w:val="20"/>
    </w:rPr>
  </w:style>
  <w:style w:type="paragraph" w:customStyle="1" w:styleId="184">
    <w:name w:val="列出段落2"/>
    <w:qFormat/>
    <w:uiPriority w:val="34"/>
    <w:pPr>
      <w:ind w:firstLine="420" w:firstLineChars="200"/>
    </w:pPr>
    <w:rPr>
      <w:rFonts w:ascii="Times New Roman" w:hAnsi="Times New Roman" w:eastAsia="宋体" w:cs="Times New Roman"/>
      <w:lang w:val="en-US" w:eastAsia="zh-CN" w:bidi="ar-SA"/>
    </w:rPr>
  </w:style>
  <w:style w:type="paragraph" w:customStyle="1" w:styleId="185">
    <w:name w:val="此正文"/>
    <w:basedOn w:val="1"/>
    <w:qFormat/>
    <w:uiPriority w:val="99"/>
    <w:pPr>
      <w:spacing w:line="360" w:lineRule="auto"/>
      <w:ind w:firstLine="200" w:firstLineChars="200"/>
    </w:pPr>
    <w:rPr>
      <w:rFonts w:ascii="Times New Roman" w:hAnsi="Times New Roman"/>
      <w:sz w:val="24"/>
    </w:rPr>
  </w:style>
  <w:style w:type="paragraph" w:customStyle="1" w:styleId="186">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187">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88">
    <w:name w:val="列出段落61"/>
    <w:basedOn w:val="1"/>
    <w:unhideWhenUsed/>
    <w:qFormat/>
    <w:uiPriority w:val="0"/>
    <w:pPr>
      <w:ind w:firstLine="420" w:firstLineChars="200"/>
    </w:pPr>
    <w:rPr>
      <w:rFonts w:ascii="Calibri" w:hAnsi="Calibri" w:cs="黑体"/>
      <w:szCs w:val="22"/>
    </w:rPr>
  </w:style>
  <w:style w:type="table" w:customStyle="1" w:styleId="189">
    <w:name w:val="网格型1"/>
    <w:basedOn w:val="4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
    <w:name w:val="font11"/>
    <w:qFormat/>
    <w:uiPriority w:val="0"/>
    <w:rPr>
      <w:rFonts w:hint="eastAsia" w:ascii="宋体" w:hAnsi="宋体" w:eastAsia="宋体" w:cs="宋体"/>
      <w:color w:val="000000"/>
      <w:sz w:val="24"/>
      <w:szCs w:val="24"/>
      <w:u w:val="none"/>
    </w:rPr>
  </w:style>
  <w:style w:type="character" w:customStyle="1" w:styleId="191">
    <w:name w:val="无间隔 Char"/>
    <w:link w:val="192"/>
    <w:qFormat/>
    <w:uiPriority w:val="1"/>
  </w:style>
  <w:style w:type="paragraph" w:styleId="192">
    <w:name w:val="No Spacing"/>
    <w:link w:val="191"/>
    <w:qFormat/>
    <w:uiPriority w:val="1"/>
    <w:pPr>
      <w:widowControl w:val="0"/>
      <w:autoSpaceDE w:val="0"/>
      <w:autoSpaceDN w:val="0"/>
      <w:adjustRightInd w:val="0"/>
      <w:jc w:val="both"/>
      <w:textAlignment w:val="baseline"/>
    </w:pPr>
    <w:rPr>
      <w:rFonts w:asciiTheme="minorHAnsi" w:hAnsiTheme="minorHAnsi" w:eastAsiaTheme="minorEastAsia" w:cstheme="minorBidi"/>
      <w:kern w:val="2"/>
      <w:sz w:val="21"/>
      <w:szCs w:val="22"/>
      <w:lang w:val="en-US" w:eastAsia="zh-CN" w:bidi="ar-SA"/>
    </w:rPr>
  </w:style>
  <w:style w:type="paragraph" w:customStyle="1" w:styleId="19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4">
    <w:name w:val="表格文字"/>
    <w:basedOn w:val="26"/>
    <w:next w:val="21"/>
    <w:qFormat/>
    <w:uiPriority w:val="0"/>
    <w:pPr>
      <w:adjustRightInd w:val="0"/>
      <w:spacing w:line="420" w:lineRule="atLeast"/>
      <w:jc w:val="left"/>
      <w:textAlignment w:val="baseline"/>
    </w:pPr>
    <w:rPr>
      <w:rFonts w:ascii="Times New Roman" w:hAnsi="Times New Roman"/>
      <w:kern w:val="0"/>
      <w:szCs w:val="20"/>
    </w:rPr>
  </w:style>
  <w:style w:type="paragraph" w:customStyle="1" w:styleId="195">
    <w:name w:val="￥正文"/>
    <w:basedOn w:val="1"/>
    <w:qFormat/>
    <w:uiPriority w:val="0"/>
    <w:pPr>
      <w:spacing w:line="360" w:lineRule="auto"/>
      <w:ind w:firstLine="200" w:firstLineChars="200"/>
    </w:pPr>
    <w:rPr>
      <w:rFonts w:ascii="Calibri" w:hAnsi="Calibri"/>
    </w:rPr>
  </w:style>
  <w:style w:type="paragraph" w:customStyle="1" w:styleId="196">
    <w:name w:val="正文空格"/>
    <w:basedOn w:val="1"/>
    <w:next w:val="1"/>
    <w:qFormat/>
    <w:uiPriority w:val="0"/>
    <w:pPr>
      <w:spacing w:line="400" w:lineRule="exact"/>
      <w:ind w:firstLine="200" w:firstLineChars="200"/>
    </w:pPr>
    <w:rPr>
      <w:sz w:val="24"/>
      <w:szCs w:val="22"/>
    </w:rPr>
  </w:style>
  <w:style w:type="paragraph" w:customStyle="1" w:styleId="197">
    <w:name w:val="_Style 116"/>
    <w:qFormat/>
    <w:uiPriority w:val="99"/>
    <w:rPr>
      <w:rFonts w:ascii="Times New Roman" w:hAnsi="Times New Roman" w:eastAsia="宋体" w:cs="Times New Roman"/>
      <w:sz w:val="24"/>
      <w:szCs w:val="22"/>
      <w:lang w:val="en-US" w:eastAsia="zh-CN" w:bidi="ar-SA"/>
    </w:rPr>
  </w:style>
  <w:style w:type="paragraph" w:customStyle="1" w:styleId="198">
    <w:name w:val="样式 首行缩进:  0 字符"/>
    <w:basedOn w:val="1"/>
    <w:link w:val="199"/>
    <w:qFormat/>
    <w:uiPriority w:val="0"/>
    <w:rPr>
      <w:rFonts w:ascii="Times New Roman" w:hAnsi="Times New Roman"/>
    </w:rPr>
  </w:style>
  <w:style w:type="character" w:customStyle="1" w:styleId="199">
    <w:name w:val="样式 首行缩进:  0 字符 Char"/>
    <w:link w:val="198"/>
    <w:qFormat/>
    <w:uiPriority w:val="0"/>
    <w:rPr>
      <w:rFonts w:ascii="Times New Roman" w:hAnsi="Times New Roman" w:eastAsia="宋体" w:cs="Times New Roman"/>
      <w:kern w:val="2"/>
      <w:sz w:val="21"/>
      <w:szCs w:val="24"/>
    </w:rPr>
  </w:style>
  <w:style w:type="paragraph" w:customStyle="1" w:styleId="200">
    <w:name w:val="表格内正文"/>
    <w:basedOn w:val="21"/>
    <w:qFormat/>
    <w:uiPriority w:val="0"/>
    <w:rPr>
      <w:rFonts w:ascii="Times New Roman" w:hAnsi="Times New Roman"/>
    </w:rPr>
  </w:style>
  <w:style w:type="paragraph" w:customStyle="1" w:styleId="201">
    <w:name w:val="标题1"/>
    <w:basedOn w:val="1"/>
    <w:next w:val="1"/>
    <w:qFormat/>
    <w:uiPriority w:val="0"/>
    <w:pPr>
      <w:adjustRightInd w:val="0"/>
      <w:spacing w:before="240" w:after="60" w:line="420" w:lineRule="atLeast"/>
      <w:jc w:val="center"/>
      <w:textAlignment w:val="baseline"/>
      <w:outlineLvl w:val="0"/>
    </w:pPr>
    <w:rPr>
      <w:rFonts w:ascii="Arial" w:hAnsi="Arial"/>
      <w:b/>
      <w:sz w:val="32"/>
    </w:rPr>
  </w:style>
  <w:style w:type="paragraph" w:customStyle="1" w:styleId="202">
    <w:name w:val="正文格式（小四）"/>
    <w:basedOn w:val="1"/>
    <w:qFormat/>
    <w:uiPriority w:val="0"/>
    <w:pPr>
      <w:widowControl/>
      <w:adjustRightInd w:val="0"/>
      <w:snapToGrid w:val="0"/>
      <w:ind w:firstLine="482"/>
      <w:jc w:val="left"/>
      <w:textAlignment w:val="baseline"/>
    </w:pPr>
    <w:rPr>
      <w:rFonts w:ascii="Times New Roman" w:hAnsi="Times New Roman"/>
      <w:kern w:val="24"/>
    </w:rPr>
  </w:style>
  <w:style w:type="character" w:customStyle="1" w:styleId="203">
    <w:name w:val="明显引用 Char"/>
    <w:qFormat/>
    <w:uiPriority w:val="0"/>
    <w:rPr>
      <w:b/>
      <w:bCs/>
      <w:i/>
      <w:iCs/>
      <w:color w:val="4F81BD"/>
      <w:kern w:val="2"/>
      <w:sz w:val="21"/>
      <w:szCs w:val="22"/>
    </w:rPr>
  </w:style>
  <w:style w:type="paragraph" w:styleId="204">
    <w:name w:val="Intense Quote"/>
    <w:basedOn w:val="1"/>
    <w:next w:val="1"/>
    <w:link w:val="205"/>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205">
    <w:name w:val="明显引用 Char1"/>
    <w:basedOn w:val="49"/>
    <w:link w:val="204"/>
    <w:qFormat/>
    <w:uiPriority w:val="30"/>
    <w:rPr>
      <w:rFonts w:ascii="Calibri" w:hAnsi="Calibri" w:eastAsia="宋体" w:cs="Times New Roman"/>
      <w:b/>
      <w:bCs/>
      <w:i/>
      <w:iCs/>
      <w:color w:val="4F81BD"/>
    </w:rPr>
  </w:style>
  <w:style w:type="character" w:customStyle="1" w:styleId="206">
    <w:name w:val="标题5 Char Char"/>
    <w:link w:val="207"/>
    <w:qFormat/>
    <w:uiPriority w:val="0"/>
    <w:rPr>
      <w:rFonts w:ascii="Arial" w:hAnsi="Arial"/>
      <w:b/>
      <w:bCs/>
      <w:sz w:val="24"/>
      <w:szCs w:val="32"/>
    </w:rPr>
  </w:style>
  <w:style w:type="paragraph" w:customStyle="1" w:styleId="207">
    <w:name w:val="标题5"/>
    <w:basedOn w:val="6"/>
    <w:link w:val="206"/>
    <w:qFormat/>
    <w:uiPriority w:val="0"/>
    <w:pPr>
      <w:widowControl w:val="0"/>
      <w:tabs>
        <w:tab w:val="clear" w:pos="720"/>
      </w:tabs>
      <w:spacing w:before="260" w:after="260" w:line="413" w:lineRule="auto"/>
      <w:jc w:val="both"/>
    </w:pPr>
    <w:rPr>
      <w:rFonts w:ascii="Arial" w:hAnsi="Arial" w:eastAsiaTheme="minorEastAsia" w:cstheme="minorBidi"/>
      <w:bCs/>
      <w:kern w:val="2"/>
      <w:sz w:val="24"/>
      <w:szCs w:val="32"/>
    </w:rPr>
  </w:style>
  <w:style w:type="character" w:customStyle="1" w:styleId="208">
    <w:name w:val="普通文字 Char1"/>
    <w:basedOn w:val="49"/>
    <w:qFormat/>
    <w:uiPriority w:val="0"/>
    <w:rPr>
      <w:rFonts w:ascii="宋体" w:hAnsi="Courier New" w:eastAsia="宋体"/>
      <w:kern w:val="2"/>
      <w:sz w:val="21"/>
      <w:szCs w:val="24"/>
      <w:lang w:val="en-US" w:eastAsia="zh-CN" w:bidi="ar-SA"/>
    </w:rPr>
  </w:style>
  <w:style w:type="character" w:customStyle="1" w:styleId="209">
    <w:name w:val="二 Char1"/>
    <w:qFormat/>
    <w:uiPriority w:val="0"/>
    <w:rPr>
      <w:rFonts w:eastAsia="宋体"/>
      <w:kern w:val="2"/>
      <w:sz w:val="21"/>
      <w:szCs w:val="24"/>
      <w:lang w:val="en-US" w:eastAsia="zh-CN" w:bidi="ar-SA"/>
    </w:rPr>
  </w:style>
  <w:style w:type="character" w:customStyle="1" w:styleId="210">
    <w:name w:val="二 Char11"/>
    <w:qFormat/>
    <w:uiPriority w:val="0"/>
    <w:rPr>
      <w:rFonts w:eastAsia="宋体"/>
      <w:kern w:val="2"/>
      <w:sz w:val="21"/>
      <w:szCs w:val="24"/>
      <w:lang w:val="en-US" w:eastAsia="zh-CN" w:bidi="ar-SA"/>
    </w:rPr>
  </w:style>
  <w:style w:type="character" w:customStyle="1" w:styleId="211">
    <w:name w:val="Char Char1"/>
    <w:basedOn w:val="49"/>
    <w:qFormat/>
    <w:uiPriority w:val="0"/>
    <w:rPr>
      <w:rFonts w:ascii="Arial" w:hAnsi="Arial" w:eastAsia="黑体"/>
      <w:b/>
      <w:bCs/>
      <w:kern w:val="2"/>
      <w:sz w:val="32"/>
      <w:szCs w:val="32"/>
      <w:lang w:val="en-US" w:eastAsia="zh-CN" w:bidi="ar-SA"/>
    </w:rPr>
  </w:style>
  <w:style w:type="character" w:customStyle="1" w:styleId="212">
    <w:name w:val="引用 Char"/>
    <w:qFormat/>
    <w:uiPriority w:val="0"/>
    <w:rPr>
      <w:i/>
      <w:iCs/>
      <w:color w:val="000000"/>
      <w:kern w:val="2"/>
      <w:sz w:val="21"/>
      <w:szCs w:val="22"/>
    </w:rPr>
  </w:style>
  <w:style w:type="paragraph" w:styleId="213">
    <w:name w:val="Quote"/>
    <w:basedOn w:val="1"/>
    <w:next w:val="1"/>
    <w:link w:val="214"/>
    <w:qFormat/>
    <w:uiPriority w:val="0"/>
    <w:rPr>
      <w:rFonts w:ascii="Calibri" w:hAnsi="Calibri"/>
      <w:i/>
      <w:iCs/>
      <w:color w:val="000000"/>
      <w:szCs w:val="22"/>
    </w:rPr>
  </w:style>
  <w:style w:type="character" w:customStyle="1" w:styleId="214">
    <w:name w:val="引用 Char1"/>
    <w:basedOn w:val="49"/>
    <w:link w:val="213"/>
    <w:qFormat/>
    <w:uiPriority w:val="29"/>
    <w:rPr>
      <w:rFonts w:ascii="Calibri" w:hAnsi="Calibri" w:eastAsia="宋体" w:cs="Times New Roman"/>
      <w:i/>
      <w:iCs/>
      <w:color w:val="000000"/>
    </w:rPr>
  </w:style>
  <w:style w:type="character" w:customStyle="1" w:styleId="215">
    <w:name w:val="font161"/>
    <w:basedOn w:val="49"/>
    <w:qFormat/>
    <w:uiPriority w:val="0"/>
    <w:rPr>
      <w:b/>
      <w:bCs/>
      <w:sz w:val="32"/>
      <w:szCs w:val="32"/>
    </w:rPr>
  </w:style>
  <w:style w:type="character" w:customStyle="1" w:styleId="216">
    <w:name w:val="fx_label"/>
    <w:basedOn w:val="49"/>
    <w:qFormat/>
    <w:uiPriority w:val="0"/>
  </w:style>
  <w:style w:type="character" w:customStyle="1" w:styleId="217">
    <w:name w:val="正文文字4 Char Char"/>
    <w:qFormat/>
    <w:uiPriority w:val="0"/>
    <w:rPr>
      <w:rFonts w:eastAsia="宋体"/>
      <w:kern w:val="2"/>
      <w:sz w:val="21"/>
      <w:szCs w:val="24"/>
      <w:lang w:val="en-US" w:eastAsia="zh-CN" w:bidi="ar-SA"/>
    </w:rPr>
  </w:style>
  <w:style w:type="character" w:customStyle="1" w:styleId="218">
    <w:name w:val="htd01"/>
    <w:basedOn w:val="49"/>
    <w:qFormat/>
    <w:uiPriority w:val="0"/>
  </w:style>
  <w:style w:type="character" w:customStyle="1" w:styleId="219">
    <w:name w:val="标题4 Char Char"/>
    <w:link w:val="220"/>
    <w:qFormat/>
    <w:uiPriority w:val="0"/>
    <w:rPr>
      <w:rFonts w:eastAsia="FangSong_GB2312"/>
      <w:sz w:val="32"/>
    </w:rPr>
  </w:style>
  <w:style w:type="paragraph" w:customStyle="1" w:styleId="220">
    <w:name w:val="标题4"/>
    <w:basedOn w:val="1"/>
    <w:link w:val="219"/>
    <w:qFormat/>
    <w:uiPriority w:val="0"/>
    <w:rPr>
      <w:rFonts w:eastAsia="FangSong_GB2312" w:asciiTheme="minorHAnsi" w:hAnsiTheme="minorHAnsi" w:cstheme="minorBidi"/>
      <w:sz w:val="32"/>
      <w:szCs w:val="22"/>
    </w:rPr>
  </w:style>
  <w:style w:type="character" w:customStyle="1" w:styleId="221">
    <w:name w:val="副标题 Char1"/>
    <w:basedOn w:val="49"/>
    <w:qFormat/>
    <w:uiPriority w:val="11"/>
    <w:rPr>
      <w:rFonts w:ascii="Cambria" w:hAnsi="Cambria" w:eastAsia="宋体" w:cs="Times New Roman"/>
      <w:b/>
      <w:bCs/>
      <w:kern w:val="28"/>
      <w:sz w:val="32"/>
      <w:szCs w:val="32"/>
    </w:rPr>
  </w:style>
  <w:style w:type="character" w:customStyle="1" w:styleId="222">
    <w:name w:val="Char Char28"/>
    <w:qFormat/>
    <w:uiPriority w:val="0"/>
    <w:rPr>
      <w:rFonts w:ascii="Arial" w:hAnsi="Arial" w:eastAsia="黑体"/>
      <w:b/>
      <w:bCs/>
      <w:sz w:val="32"/>
      <w:szCs w:val="32"/>
      <w:lang w:val="en-US" w:eastAsia="zh-CN" w:bidi="ar-SA"/>
    </w:rPr>
  </w:style>
  <w:style w:type="paragraph" w:customStyle="1" w:styleId="223">
    <w:name w:val="正文 + 宋体"/>
    <w:basedOn w:val="1"/>
    <w:qFormat/>
    <w:uiPriority w:val="0"/>
    <w:pPr>
      <w:spacing w:line="360" w:lineRule="auto"/>
    </w:pPr>
    <w:rPr>
      <w:rFonts w:ascii="宋体" w:hAnsi="宋体"/>
      <w:kern w:val="0"/>
      <w:sz w:val="28"/>
      <w:szCs w:val="28"/>
    </w:rPr>
  </w:style>
  <w:style w:type="paragraph" w:customStyle="1" w:styleId="224">
    <w:name w:val="_Style 164"/>
    <w:basedOn w:val="1"/>
    <w:qFormat/>
    <w:uiPriority w:val="0"/>
    <w:pPr>
      <w:widowControl/>
      <w:spacing w:line="360" w:lineRule="auto"/>
      <w:ind w:firstLine="200" w:firstLineChars="200"/>
    </w:pPr>
    <w:rPr>
      <w:rFonts w:ascii="Tahoma" w:hAnsi="Tahoma" w:cs="Arial"/>
      <w:sz w:val="24"/>
      <w:szCs w:val="20"/>
    </w:rPr>
  </w:style>
  <w:style w:type="paragraph" w:customStyle="1" w:styleId="225">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226">
    <w:name w:val="样式 标题 3 + 段前: 7.8 磅"/>
    <w:basedOn w:val="6"/>
    <w:qFormat/>
    <w:uiPriority w:val="0"/>
    <w:pPr>
      <w:keepNext w:val="0"/>
      <w:keepLines w:val="0"/>
      <w:widowControl w:val="0"/>
      <w:tabs>
        <w:tab w:val="clear" w:pos="720"/>
      </w:tabs>
      <w:spacing w:before="156" w:after="0"/>
      <w:ind w:left="2220" w:hanging="420"/>
      <w:jc w:val="both"/>
    </w:pPr>
    <w:rPr>
      <w:rFonts w:eastAsia="宋体" w:cs="宋体"/>
      <w:b w:val="0"/>
      <w:kern w:val="2"/>
      <w:sz w:val="24"/>
      <w:szCs w:val="20"/>
    </w:rPr>
  </w:style>
  <w:style w:type="paragraph" w:customStyle="1" w:styleId="227">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228">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229">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30">
    <w:name w:val="样式 标题 3 + Arial"/>
    <w:basedOn w:val="6"/>
    <w:qFormat/>
    <w:uiPriority w:val="0"/>
    <w:pPr>
      <w:widowControl w:val="0"/>
      <w:tabs>
        <w:tab w:val="clear" w:pos="720"/>
      </w:tabs>
      <w:spacing w:beforeLines="100" w:after="0"/>
      <w:jc w:val="both"/>
    </w:pPr>
    <w:rPr>
      <w:rFonts w:ascii="Arial" w:hAnsi="Arial" w:eastAsia="宋体"/>
      <w:bCs/>
      <w:kern w:val="2"/>
      <w:sz w:val="24"/>
      <w:szCs w:val="32"/>
    </w:rPr>
  </w:style>
  <w:style w:type="paragraph" w:customStyle="1" w:styleId="231">
    <w:name w:val="样式 标题 3 + (中文) 黑体 小四 非加粗 段前: 7.8 磅 段后: 0 磅 行距: 固定值 20 磅"/>
    <w:basedOn w:val="6"/>
    <w:qFormat/>
    <w:uiPriority w:val="0"/>
    <w:pPr>
      <w:widowControl w:val="0"/>
      <w:tabs>
        <w:tab w:val="clear" w:pos="720"/>
      </w:tabs>
      <w:spacing w:before="0" w:after="0" w:line="400" w:lineRule="exact"/>
      <w:jc w:val="both"/>
    </w:pPr>
    <w:rPr>
      <w:rFonts w:eastAsia="黑体" w:cs="宋体"/>
      <w:b w:val="0"/>
      <w:kern w:val="2"/>
      <w:sz w:val="24"/>
      <w:szCs w:val="20"/>
    </w:rPr>
  </w:style>
  <w:style w:type="paragraph" w:customStyle="1" w:styleId="23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33">
    <w:name w:val="表格"/>
    <w:basedOn w:val="1"/>
    <w:qFormat/>
    <w:uiPriority w:val="0"/>
    <w:pPr>
      <w:jc w:val="center"/>
      <w:textAlignment w:val="center"/>
    </w:pPr>
    <w:rPr>
      <w:rFonts w:ascii="华文细黑" w:hAnsi="华文细黑"/>
      <w:kern w:val="0"/>
      <w:szCs w:val="20"/>
    </w:rPr>
  </w:style>
  <w:style w:type="paragraph" w:customStyle="1" w:styleId="234">
    <w:name w:val="样式 样式 样式1 + 首行缩进:  2 字符 + 左侧:  0.74 厘米"/>
    <w:basedOn w:val="225"/>
    <w:qFormat/>
    <w:uiPriority w:val="0"/>
    <w:pPr>
      <w:ind w:firstLine="200"/>
    </w:pPr>
  </w:style>
  <w:style w:type="paragraph" w:customStyle="1" w:styleId="235">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36">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237">
    <w:name w:val="Char2"/>
    <w:basedOn w:val="1"/>
    <w:qFormat/>
    <w:uiPriority w:val="0"/>
    <w:rPr>
      <w:rFonts w:ascii="FangSong_GB2312" w:hAnsi="Times New Roman" w:eastAsia="FangSong_GB2312"/>
      <w:b/>
      <w:sz w:val="32"/>
      <w:szCs w:val="32"/>
    </w:rPr>
  </w:style>
  <w:style w:type="paragraph" w:customStyle="1" w:styleId="238">
    <w:name w:val="列出段落4"/>
    <w:basedOn w:val="1"/>
    <w:qFormat/>
    <w:uiPriority w:val="99"/>
    <w:pPr>
      <w:ind w:firstLine="420" w:firstLineChars="200"/>
    </w:pPr>
    <w:rPr>
      <w:rFonts w:ascii="Times New Roman" w:hAnsi="Times New Roman"/>
    </w:rPr>
  </w:style>
  <w:style w:type="character" w:customStyle="1" w:styleId="239">
    <w:name w:val="font31"/>
    <w:basedOn w:val="49"/>
    <w:qFormat/>
    <w:uiPriority w:val="0"/>
    <w:rPr>
      <w:rFonts w:hint="eastAsia" w:ascii="宋体" w:hAnsi="宋体" w:eastAsia="宋体" w:cs="宋体"/>
      <w:color w:val="000000"/>
      <w:sz w:val="20"/>
      <w:szCs w:val="20"/>
      <w:u w:val="none"/>
    </w:rPr>
  </w:style>
  <w:style w:type="character" w:customStyle="1" w:styleId="240">
    <w:name w:val="font41"/>
    <w:basedOn w:val="49"/>
    <w:qFormat/>
    <w:uiPriority w:val="0"/>
    <w:rPr>
      <w:rFonts w:ascii="宋体" w:hAnsi="宋体" w:eastAsia="宋体" w:cs="宋体"/>
      <w:color w:val="000000"/>
      <w:sz w:val="20"/>
      <w:szCs w:val="20"/>
      <w:u w:val="none"/>
    </w:rPr>
  </w:style>
  <w:style w:type="character" w:customStyle="1" w:styleId="241">
    <w:name w:val="font51"/>
    <w:basedOn w:val="49"/>
    <w:qFormat/>
    <w:uiPriority w:val="0"/>
    <w:rPr>
      <w:rFonts w:hint="default" w:ascii="Times New Roman" w:hAnsi="Times New Roman" w:cs="Times New Roman"/>
      <w:color w:val="000000"/>
      <w:sz w:val="21"/>
      <w:szCs w:val="21"/>
      <w:u w:val="none"/>
    </w:rPr>
  </w:style>
  <w:style w:type="character" w:customStyle="1" w:styleId="242">
    <w:name w:val="font71"/>
    <w:basedOn w:val="49"/>
    <w:qFormat/>
    <w:uiPriority w:val="0"/>
    <w:rPr>
      <w:rFonts w:ascii="宋体" w:hAnsi="宋体" w:eastAsia="宋体" w:cs="宋体"/>
      <w:color w:val="000000"/>
      <w:sz w:val="21"/>
      <w:szCs w:val="21"/>
      <w:u w:val="none"/>
    </w:rPr>
  </w:style>
  <w:style w:type="character" w:customStyle="1" w:styleId="243">
    <w:name w:val="font61"/>
    <w:basedOn w:val="49"/>
    <w:qFormat/>
    <w:uiPriority w:val="0"/>
    <w:rPr>
      <w:rFonts w:ascii="宋体" w:hAnsi="宋体" w:eastAsia="宋体" w:cs="宋体"/>
      <w:color w:val="000000"/>
      <w:sz w:val="20"/>
      <w:szCs w:val="20"/>
      <w:u w:val="none"/>
    </w:rPr>
  </w:style>
  <w:style w:type="character" w:customStyle="1" w:styleId="244">
    <w:name w:val="font21"/>
    <w:basedOn w:val="49"/>
    <w:qFormat/>
    <w:uiPriority w:val="0"/>
    <w:rPr>
      <w:rFonts w:hint="default" w:ascii="Times New Roman" w:hAnsi="Times New Roman" w:cs="Times New Roman"/>
      <w:color w:val="000000"/>
      <w:sz w:val="21"/>
      <w:szCs w:val="21"/>
      <w:u w:val="none"/>
    </w:rPr>
  </w:style>
  <w:style w:type="character" w:customStyle="1" w:styleId="245">
    <w:name w:val="NormalCharacter"/>
    <w:qFormat/>
    <w:uiPriority w:val="0"/>
    <w:rPr>
      <w:rFonts w:ascii="Calibri" w:hAnsi="Calibri" w:eastAsia="宋体" w:cs="Times New Roman"/>
      <w:kern w:val="2"/>
      <w:sz w:val="21"/>
      <w:szCs w:val="24"/>
      <w:lang w:val="en-US" w:eastAsia="zh-CN" w:bidi="ar-SA"/>
    </w:rPr>
  </w:style>
  <w:style w:type="paragraph" w:customStyle="1" w:styleId="246">
    <w:name w:val="Table Paragraph"/>
    <w:basedOn w:val="1"/>
    <w:qFormat/>
    <w:uiPriority w:val="1"/>
    <w:rPr>
      <w:rFonts w:ascii="Times New Roman" w:hAnsi="Times New Roman"/>
      <w:szCs w:val="21"/>
    </w:rPr>
  </w:style>
  <w:style w:type="paragraph" w:customStyle="1" w:styleId="247">
    <w:name w:val="正文-MINE"/>
    <w:basedOn w:val="1"/>
    <w:qFormat/>
    <w:uiPriority w:val="0"/>
    <w:pPr>
      <w:adjustRightInd w:val="0"/>
      <w:snapToGrid w:val="0"/>
      <w:spacing w:beforeLines="50" w:afterLines="50"/>
      <w:ind w:firstLine="482"/>
    </w:pPr>
    <w:rPr>
      <w:rFonts w:ascii="微软雅黑" w:hAnsi="微软雅黑" w:eastAsia="微软雅黑"/>
      <w:szCs w:val="21"/>
    </w:rPr>
  </w:style>
  <w:style w:type="character" w:customStyle="1" w:styleId="248">
    <w:name w:val="Page Number1"/>
    <w:qFormat/>
    <w:uiPriority w:val="99"/>
    <w:rPr>
      <w:rFonts w:ascii="FangSong_GB2312" w:cs="Times New Roman"/>
      <w:b/>
      <w:kern w:val="0"/>
      <w:sz w:val="32"/>
      <w:szCs w:val="32"/>
    </w:rPr>
  </w:style>
  <w:style w:type="paragraph" w:customStyle="1" w:styleId="249">
    <w:name w:val="Char Char Char Char Char Char Char"/>
    <w:basedOn w:val="1"/>
    <w:qFormat/>
    <w:uiPriority w:val="0"/>
    <w:rPr>
      <w:szCs w:val="20"/>
    </w:rPr>
  </w:style>
  <w:style w:type="character" w:customStyle="1" w:styleId="250">
    <w:name w:val="正文文本缩进 2 字符"/>
    <w:qFormat/>
    <w:uiPriority w:val="0"/>
    <w:rPr>
      <w:rFonts w:ascii="宋体"/>
      <w:sz w:val="24"/>
    </w:rPr>
  </w:style>
  <w:style w:type="character" w:customStyle="1" w:styleId="251">
    <w:name w:val="列表段落 字符2"/>
    <w:link w:val="252"/>
    <w:qFormat/>
    <w:uiPriority w:val="34"/>
    <w:rPr>
      <w:szCs w:val="24"/>
    </w:rPr>
  </w:style>
  <w:style w:type="paragraph" w:customStyle="1" w:styleId="252">
    <w:name w:val="_Style 240"/>
    <w:basedOn w:val="1"/>
    <w:next w:val="111"/>
    <w:link w:val="251"/>
    <w:qFormat/>
    <w:uiPriority w:val="34"/>
    <w:pPr>
      <w:ind w:firstLine="420" w:firstLineChars="200"/>
    </w:pPr>
    <w:rPr>
      <w:rFonts w:asciiTheme="minorHAnsi" w:hAnsiTheme="minorHAnsi" w:eastAsiaTheme="minorEastAsia" w:cstheme="minorBidi"/>
    </w:rPr>
  </w:style>
  <w:style w:type="paragraph" w:customStyle="1" w:styleId="253">
    <w:name w:val="缩进"/>
    <w:basedOn w:val="1"/>
    <w:next w:val="1"/>
    <w:qFormat/>
    <w:uiPriority w:val="0"/>
    <w:pPr>
      <w:autoSpaceDE w:val="0"/>
      <w:autoSpaceDN w:val="0"/>
      <w:adjustRightInd w:val="0"/>
      <w:snapToGrid w:val="0"/>
      <w:spacing w:line="360" w:lineRule="auto"/>
      <w:ind w:firstLine="200" w:firstLineChars="200"/>
      <w:jc w:val="left"/>
    </w:pPr>
    <w:rPr>
      <w:rFonts w:ascii="Calibri" w:hAnsi="Calibri"/>
      <w:snapToGrid w:val="0"/>
      <w:kern w:val="0"/>
      <w:sz w:val="24"/>
      <w:szCs w:val="21"/>
    </w:rPr>
  </w:style>
  <w:style w:type="paragraph" w:customStyle="1" w:styleId="254">
    <w:name w:val="列出段落6"/>
    <w:basedOn w:val="1"/>
    <w:unhideWhenUsed/>
    <w:qFormat/>
    <w:uiPriority w:val="99"/>
    <w:pPr>
      <w:autoSpaceDE w:val="0"/>
      <w:autoSpaceDN w:val="0"/>
      <w:adjustRightInd w:val="0"/>
      <w:snapToGrid w:val="0"/>
      <w:spacing w:line="360" w:lineRule="auto"/>
      <w:ind w:firstLine="420" w:firstLineChars="200"/>
      <w:jc w:val="left"/>
    </w:pPr>
    <w:rPr>
      <w:rFonts w:ascii="Calibri" w:hAnsi="Calibri"/>
      <w:snapToGrid w:val="0"/>
      <w:kern w:val="0"/>
      <w:sz w:val="24"/>
      <w:szCs w:val="21"/>
    </w:rPr>
  </w:style>
  <w:style w:type="paragraph" w:customStyle="1" w:styleId="255">
    <w:name w:val="Char Char11"/>
    <w:basedOn w:val="1"/>
    <w:qFormat/>
    <w:uiPriority w:val="0"/>
    <w:rPr>
      <w:rFonts w:ascii="Tahoma" w:hAnsi="Tahoma"/>
      <w:kern w:val="0"/>
      <w:sz w:val="24"/>
      <w:szCs w:val="20"/>
    </w:rPr>
  </w:style>
  <w:style w:type="paragraph" w:customStyle="1" w:styleId="256">
    <w:name w:val="纯文本2"/>
    <w:basedOn w:val="1"/>
    <w:qFormat/>
    <w:uiPriority w:val="0"/>
    <w:pPr>
      <w:adjustRightInd w:val="0"/>
      <w:spacing w:line="360" w:lineRule="atLeast"/>
      <w:jc w:val="left"/>
    </w:pPr>
    <w:rPr>
      <w:rFonts w:ascii="宋体" w:hAnsi="Courier New"/>
      <w:kern w:val="0"/>
      <w:szCs w:val="21"/>
    </w:rPr>
  </w:style>
  <w:style w:type="paragraph" w:customStyle="1" w:styleId="257">
    <w:name w:val="样式 样式 样式 标题 2 + 两端对齐 段前: 18 磅 + 首行缩进:  2 字符 + 首行缩进:  2 字符 段后: 0..."/>
    <w:basedOn w:val="1"/>
    <w:qFormat/>
    <w:uiPriority w:val="0"/>
    <w:pPr>
      <w:spacing w:afterLines="50" w:line="360" w:lineRule="auto"/>
    </w:pPr>
    <w:rPr>
      <w:rFonts w:cs="宋体"/>
      <w:b/>
      <w:bCs/>
      <w:sz w:val="24"/>
      <w:szCs w:val="20"/>
    </w:rPr>
  </w:style>
  <w:style w:type="paragraph" w:customStyle="1" w:styleId="258">
    <w:name w:val="标准正文"/>
    <w:basedOn w:val="1"/>
    <w:qFormat/>
    <w:uiPriority w:val="0"/>
    <w:pPr>
      <w:spacing w:line="360" w:lineRule="auto"/>
      <w:ind w:firstLine="200" w:firstLineChars="200"/>
    </w:pPr>
    <w:rPr>
      <w:rFonts w:ascii="宋体" w:hAnsi="Courier New"/>
      <w:kern w:val="0"/>
      <w:sz w:val="24"/>
      <w:szCs w:val="32"/>
    </w:rPr>
  </w:style>
  <w:style w:type="character" w:customStyle="1" w:styleId="259">
    <w:name w:val="font01"/>
    <w:basedOn w:val="49"/>
    <w:qFormat/>
    <w:uiPriority w:val="0"/>
    <w:rPr>
      <w:rFonts w:hint="eastAsia" w:ascii="宋体" w:hAnsi="宋体" w:eastAsia="宋体" w:cs="宋体"/>
      <w:color w:val="FF0000"/>
      <w:sz w:val="20"/>
      <w:szCs w:val="20"/>
      <w:u w:val="none"/>
    </w:rPr>
  </w:style>
  <w:style w:type="paragraph" w:customStyle="1" w:styleId="260">
    <w:name w:val="正文首行缩进 21"/>
    <w:qFormat/>
    <w:uiPriority w:val="0"/>
    <w:pPr>
      <w:ind w:firstLine="420"/>
    </w:pPr>
    <w:rPr>
      <w:rFonts w:ascii="Times New Roman" w:hAnsi="Times New Roman" w:eastAsia="Times New Roman" w:cs="Times New Roman"/>
      <w:sz w:val="21"/>
      <w:szCs w:val="22"/>
      <w:lang w:val="en-US" w:eastAsia="zh-CN" w:bidi="ar-SA"/>
    </w:rPr>
  </w:style>
  <w:style w:type="character" w:customStyle="1" w:styleId="261">
    <w:name w:val="页眉 字符1"/>
    <w:qFormat/>
    <w:uiPriority w:val="0"/>
    <w:rPr>
      <w:kern w:val="2"/>
      <w:sz w:val="18"/>
      <w:szCs w:val="18"/>
    </w:rPr>
  </w:style>
  <w:style w:type="character" w:customStyle="1" w:styleId="262">
    <w:name w:val="标题 字符1"/>
    <w:qFormat/>
    <w:uiPriority w:val="0"/>
    <w:rPr>
      <w:rFonts w:ascii="Cambria" w:hAnsi="Cambria"/>
      <w:b/>
      <w:bCs/>
      <w:kern w:val="2"/>
      <w:sz w:val="32"/>
      <w:szCs w:val="32"/>
    </w:rPr>
  </w:style>
  <w:style w:type="character" w:customStyle="1" w:styleId="263">
    <w:name w:val="标题 2 字符1"/>
    <w:link w:val="264"/>
    <w:qFormat/>
    <w:uiPriority w:val="0"/>
    <w:rPr>
      <w:rFonts w:ascii="Arial" w:hAnsi="Arial" w:eastAsia="黑体"/>
      <w:bCs/>
      <w:kern w:val="2"/>
      <w:sz w:val="36"/>
      <w:szCs w:val="36"/>
    </w:rPr>
  </w:style>
  <w:style w:type="paragraph" w:customStyle="1" w:styleId="264">
    <w:name w:val="标题 21"/>
    <w:basedOn w:val="1"/>
    <w:next w:val="1"/>
    <w:link w:val="263"/>
    <w:qFormat/>
    <w:uiPriority w:val="0"/>
    <w:pPr>
      <w:spacing w:before="240" w:after="120" w:line="360" w:lineRule="auto"/>
      <w:jc w:val="left"/>
      <w:outlineLvl w:val="1"/>
    </w:pPr>
    <w:rPr>
      <w:rFonts w:ascii="Arial" w:hAnsi="Arial" w:eastAsia="黑体" w:cstheme="minorBidi"/>
      <w:bCs/>
      <w:sz w:val="36"/>
      <w:szCs w:val="36"/>
    </w:rPr>
  </w:style>
  <w:style w:type="paragraph" w:customStyle="1" w:styleId="265">
    <w:name w:val="编号，小四"/>
    <w:basedOn w:val="266"/>
    <w:qFormat/>
    <w:uiPriority w:val="0"/>
    <w:pPr>
      <w:numPr>
        <w:ilvl w:val="0"/>
        <w:numId w:val="3"/>
      </w:numPr>
      <w:ind w:firstLine="0" w:firstLineChars="0"/>
    </w:pPr>
    <w:rPr>
      <w:sz w:val="24"/>
    </w:rPr>
  </w:style>
  <w:style w:type="paragraph" w:customStyle="1" w:styleId="266">
    <w:name w:val="正文四号"/>
    <w:basedOn w:val="1"/>
    <w:link w:val="267"/>
    <w:qFormat/>
    <w:uiPriority w:val="0"/>
    <w:pPr>
      <w:spacing w:line="360" w:lineRule="auto"/>
      <w:ind w:firstLine="200" w:firstLineChars="200"/>
    </w:pPr>
    <w:rPr>
      <w:rFonts w:ascii="Times New Roman" w:hAnsi="Times New Roman" w:cs="宋体"/>
      <w:sz w:val="28"/>
      <w:szCs w:val="20"/>
    </w:rPr>
  </w:style>
  <w:style w:type="character" w:customStyle="1" w:styleId="267">
    <w:name w:val="正文四号 Char"/>
    <w:link w:val="266"/>
    <w:qFormat/>
    <w:locked/>
    <w:uiPriority w:val="0"/>
    <w:rPr>
      <w:rFonts w:ascii="Times New Roman" w:hAnsi="Times New Roman" w:eastAsia="宋体" w:cs="宋体"/>
      <w:kern w:val="2"/>
      <w:sz w:val="28"/>
    </w:rPr>
  </w:style>
  <w:style w:type="paragraph" w:customStyle="1" w:styleId="268">
    <w:name w:val="编号，四号"/>
    <w:basedOn w:val="265"/>
    <w:qFormat/>
    <w:uiPriority w:val="0"/>
    <w:pPr>
      <w:numPr>
        <w:ilvl w:val="0"/>
        <w:numId w:val="4"/>
      </w:numPr>
    </w:pPr>
    <w:rPr>
      <w:sz w:val="28"/>
    </w:rPr>
  </w:style>
  <w:style w:type="paragraph" w:customStyle="1" w:styleId="269">
    <w:name w:val="表格表头"/>
    <w:basedOn w:val="1"/>
    <w:qFormat/>
    <w:uiPriority w:val="0"/>
    <w:pPr>
      <w:spacing w:line="360" w:lineRule="auto"/>
      <w:jc w:val="center"/>
    </w:pPr>
    <w:rPr>
      <w:rFonts w:ascii="宋体" w:hAnsi="宋体" w:eastAsia="黑体"/>
      <w:sz w:val="24"/>
      <w:szCs w:val="21"/>
    </w:rPr>
  </w:style>
  <w:style w:type="paragraph" w:customStyle="1" w:styleId="270">
    <w:name w:val="表格正文"/>
    <w:basedOn w:val="1"/>
    <w:link w:val="271"/>
    <w:qFormat/>
    <w:uiPriority w:val="0"/>
    <w:pPr>
      <w:spacing w:line="360" w:lineRule="auto"/>
      <w:ind w:firstLine="200" w:firstLineChars="200"/>
      <w:jc w:val="left"/>
    </w:pPr>
    <w:rPr>
      <w:rFonts w:ascii="Times New Roman" w:hAnsi="Times New Roman"/>
    </w:rPr>
  </w:style>
  <w:style w:type="character" w:customStyle="1" w:styleId="271">
    <w:name w:val="表格正文 Char"/>
    <w:link w:val="270"/>
    <w:qFormat/>
    <w:uiPriority w:val="0"/>
    <w:rPr>
      <w:rFonts w:ascii="Times New Roman" w:hAnsi="Times New Roman" w:eastAsia="宋体" w:cs="Times New Roman"/>
      <w:kern w:val="2"/>
      <w:sz w:val="21"/>
      <w:szCs w:val="24"/>
    </w:rPr>
  </w:style>
  <w:style w:type="paragraph" w:customStyle="1" w:styleId="272">
    <w:name w:val="表1"/>
    <w:basedOn w:val="1"/>
    <w:qFormat/>
    <w:uiPriority w:val="0"/>
    <w:pPr>
      <w:numPr>
        <w:ilvl w:val="0"/>
        <w:numId w:val="5"/>
      </w:numPr>
      <w:spacing w:line="360" w:lineRule="auto"/>
      <w:jc w:val="center"/>
    </w:pPr>
    <w:rPr>
      <w:rFonts w:ascii="Times New Roman" w:hAnsi="Times New Roman"/>
    </w:rPr>
  </w:style>
  <w:style w:type="paragraph" w:customStyle="1" w:styleId="273">
    <w:name w:val="CM51"/>
    <w:basedOn w:val="104"/>
    <w:next w:val="104"/>
    <w:qFormat/>
    <w:uiPriority w:val="0"/>
    <w:pPr>
      <w:spacing w:after="103"/>
    </w:pPr>
    <w:rPr>
      <w:rFonts w:ascii="黑体" w:hAnsi="Calibri" w:eastAsia="黑体" w:cs="Times New Roman"/>
      <w:color w:val="auto"/>
    </w:rPr>
  </w:style>
  <w:style w:type="character" w:customStyle="1" w:styleId="274">
    <w:name w:val="*正文 Char Char"/>
    <w:qFormat/>
    <w:uiPriority w:val="0"/>
    <w:rPr>
      <w:rFonts w:ascii="FangSong_GB2312" w:eastAsia="FangSong_GB2312"/>
      <w:kern w:val="2"/>
      <w:sz w:val="24"/>
      <w:szCs w:val="28"/>
    </w:rPr>
  </w:style>
  <w:style w:type="paragraph" w:customStyle="1" w:styleId="275">
    <w:name w:val="paragraph1"/>
    <w:basedOn w:val="1"/>
    <w:link w:val="276"/>
    <w:qFormat/>
    <w:uiPriority w:val="0"/>
    <w:pPr>
      <w:spacing w:afterLines="30" w:line="360" w:lineRule="auto"/>
      <w:ind w:firstLine="480" w:firstLineChars="200"/>
    </w:pPr>
    <w:rPr>
      <w:rFonts w:ascii="Verdana" w:hAnsi="Verdana"/>
      <w:sz w:val="24"/>
      <w:lang w:eastAsia="en-US"/>
    </w:rPr>
  </w:style>
  <w:style w:type="character" w:customStyle="1" w:styleId="276">
    <w:name w:val="paragraph1 Char"/>
    <w:link w:val="275"/>
    <w:qFormat/>
    <w:uiPriority w:val="0"/>
    <w:rPr>
      <w:rFonts w:ascii="Verdana" w:hAnsi="Verdana" w:eastAsia="宋体" w:cs="Times New Roman"/>
      <w:kern w:val="2"/>
      <w:sz w:val="24"/>
      <w:szCs w:val="24"/>
      <w:lang w:eastAsia="en-US"/>
    </w:rPr>
  </w:style>
  <w:style w:type="paragraph" w:customStyle="1" w:styleId="277">
    <w:name w:val="number1"/>
    <w:basedOn w:val="1"/>
    <w:link w:val="278"/>
    <w:qFormat/>
    <w:uiPriority w:val="0"/>
    <w:pPr>
      <w:tabs>
        <w:tab w:val="left" w:pos="840"/>
      </w:tabs>
      <w:spacing w:afterLines="30" w:line="360" w:lineRule="auto"/>
      <w:ind w:left="840" w:hanging="420"/>
    </w:pPr>
    <w:rPr>
      <w:rFonts w:ascii="Verdana" w:hAnsi="Verdana"/>
      <w:sz w:val="24"/>
      <w:lang w:eastAsia="en-US"/>
    </w:rPr>
  </w:style>
  <w:style w:type="character" w:customStyle="1" w:styleId="278">
    <w:name w:val="number1 Char"/>
    <w:link w:val="277"/>
    <w:qFormat/>
    <w:uiPriority w:val="0"/>
    <w:rPr>
      <w:rFonts w:ascii="Verdana" w:hAnsi="Verdana" w:eastAsia="宋体" w:cs="Times New Roman"/>
      <w:kern w:val="2"/>
      <w:sz w:val="24"/>
      <w:szCs w:val="24"/>
      <w:lang w:eastAsia="en-US"/>
    </w:rPr>
  </w:style>
  <w:style w:type="paragraph" w:customStyle="1" w:styleId="279">
    <w:name w:val="number"/>
    <w:basedOn w:val="1"/>
    <w:qFormat/>
    <w:uiPriority w:val="99"/>
    <w:pPr>
      <w:tabs>
        <w:tab w:val="left" w:pos="360"/>
      </w:tabs>
      <w:spacing w:beforeLines="20" w:afterLines="30" w:line="360" w:lineRule="auto"/>
    </w:pPr>
    <w:rPr>
      <w:rFonts w:ascii="Arial" w:hAnsi="Arial"/>
      <w:sz w:val="24"/>
    </w:rPr>
  </w:style>
  <w:style w:type="paragraph" w:customStyle="1" w:styleId="280">
    <w:name w:val="样式 number1 + (符号) 宋体"/>
    <w:basedOn w:val="277"/>
    <w:link w:val="281"/>
    <w:qFormat/>
    <w:uiPriority w:val="0"/>
    <w:pPr>
      <w:tabs>
        <w:tab w:val="left" w:pos="902"/>
        <w:tab w:val="clear" w:pos="840"/>
      </w:tabs>
      <w:spacing w:after="30"/>
      <w:ind w:left="400" w:leftChars="200" w:hanging="200" w:hangingChars="200"/>
    </w:pPr>
    <w:rPr>
      <w:rFonts w:cs="Arial"/>
    </w:rPr>
  </w:style>
  <w:style w:type="character" w:customStyle="1" w:styleId="281">
    <w:name w:val="样式 number1 + (符号) 宋体 Char"/>
    <w:link w:val="280"/>
    <w:qFormat/>
    <w:uiPriority w:val="0"/>
    <w:rPr>
      <w:rFonts w:ascii="Verdana" w:hAnsi="Verdana" w:eastAsia="宋体" w:cs="Arial"/>
      <w:kern w:val="2"/>
      <w:sz w:val="24"/>
      <w:szCs w:val="24"/>
      <w:lang w:eastAsia="en-US"/>
    </w:rPr>
  </w:style>
  <w:style w:type="paragraph" w:customStyle="1" w:styleId="282">
    <w:name w:val="正文22"/>
    <w:basedOn w:val="1"/>
    <w:link w:val="283"/>
    <w:qFormat/>
    <w:uiPriority w:val="0"/>
    <w:pPr>
      <w:spacing w:line="360" w:lineRule="auto"/>
      <w:ind w:firstLine="200" w:firstLineChars="200"/>
      <w:jc w:val="left"/>
    </w:pPr>
    <w:rPr>
      <w:rFonts w:ascii="宋体" w:hAnsi="宋体"/>
      <w:sz w:val="24"/>
    </w:rPr>
  </w:style>
  <w:style w:type="character" w:customStyle="1" w:styleId="283">
    <w:name w:val="正文22 字符"/>
    <w:link w:val="282"/>
    <w:qFormat/>
    <w:uiPriority w:val="0"/>
    <w:rPr>
      <w:rFonts w:ascii="宋体" w:hAnsi="宋体" w:eastAsia="宋体" w:cs="Times New Roman"/>
      <w:kern w:val="2"/>
      <w:sz w:val="24"/>
      <w:szCs w:val="24"/>
    </w:rPr>
  </w:style>
  <w:style w:type="paragraph" w:customStyle="1" w:styleId="284">
    <w:name w:val="正文00"/>
    <w:basedOn w:val="25"/>
    <w:link w:val="285"/>
    <w:qFormat/>
    <w:uiPriority w:val="0"/>
    <w:pPr>
      <w:tabs>
        <w:tab w:val="clear" w:pos="1440"/>
      </w:tabs>
      <w:ind w:left="0" w:leftChars="0" w:firstLine="0" w:firstLineChars="0"/>
      <w:jc w:val="left"/>
    </w:pPr>
    <w:rPr>
      <w:rFonts w:ascii="宋体" w:hAnsi="宋体"/>
      <w:smallCaps w:val="0"/>
      <w:sz w:val="24"/>
      <w:szCs w:val="32"/>
    </w:rPr>
  </w:style>
  <w:style w:type="character" w:customStyle="1" w:styleId="285">
    <w:name w:val="正文00 字符"/>
    <w:link w:val="284"/>
    <w:qFormat/>
    <w:uiPriority w:val="0"/>
    <w:rPr>
      <w:rFonts w:ascii="宋体" w:hAnsi="宋体" w:eastAsia="宋体" w:cs="Times New Roman"/>
      <w:kern w:val="2"/>
      <w:sz w:val="24"/>
      <w:szCs w:val="32"/>
      <w:lang w:val="en-US" w:eastAsia="zh-CN"/>
    </w:rPr>
  </w:style>
  <w:style w:type="character" w:customStyle="1" w:styleId="286">
    <w:name w:val="fontstyle01"/>
    <w:qFormat/>
    <w:uiPriority w:val="0"/>
    <w:rPr>
      <w:rFonts w:hint="default" w:ascii="仿宋" w:hAnsi="仿宋" w:eastAsia="宋体"/>
      <w:color w:val="000000"/>
      <w:sz w:val="24"/>
      <w:szCs w:val="24"/>
      <w:lang w:val="en-US" w:eastAsia="en-US" w:bidi="ar-SA"/>
    </w:rPr>
  </w:style>
  <w:style w:type="paragraph" w:customStyle="1" w:styleId="287">
    <w:name w:val="样式 标题9 +"/>
    <w:basedOn w:val="1"/>
    <w:qFormat/>
    <w:uiPriority w:val="0"/>
    <w:pPr>
      <w:keepNext/>
      <w:keepLines/>
      <w:tabs>
        <w:tab w:val="left" w:pos="6211"/>
      </w:tabs>
      <w:spacing w:before="240" w:after="64" w:line="320" w:lineRule="auto"/>
      <w:ind w:left="5391" w:hanging="1700"/>
      <w:outlineLvl w:val="8"/>
    </w:pPr>
    <w:rPr>
      <w:rFonts w:ascii="Cambria" w:hAnsi="Cambria" w:eastAsia="黑体"/>
      <w:szCs w:val="21"/>
      <w:lang w:eastAsia="en-US"/>
    </w:rPr>
  </w:style>
  <w:style w:type="paragraph" w:customStyle="1" w:styleId="288">
    <w:name w:val="样式 标题 7PIM 7（1）L71.1.1.1.1.1.1标题 7H7Legal Level 1.1.lette..."/>
    <w:basedOn w:val="10"/>
    <w:qFormat/>
    <w:uiPriority w:val="0"/>
    <w:pPr>
      <w:keepLines w:val="0"/>
      <w:widowControl w:val="0"/>
      <w:tabs>
        <w:tab w:val="clear" w:pos="2520"/>
      </w:tabs>
      <w:adjustRightInd w:val="0"/>
      <w:spacing w:before="0" w:after="0" w:line="360" w:lineRule="auto"/>
      <w:ind w:left="0" w:firstLine="422" w:firstLineChars="200"/>
      <w:textAlignment w:val="baseline"/>
    </w:pPr>
    <w:rPr>
      <w:rFonts w:cs="宋体"/>
      <w:snapToGrid w:val="0"/>
      <w:szCs w:val="20"/>
    </w:rPr>
  </w:style>
  <w:style w:type="paragraph" w:customStyle="1" w:styleId="289">
    <w:name w:val="正文文本 31"/>
    <w:basedOn w:val="1"/>
    <w:next w:val="20"/>
    <w:link w:val="290"/>
    <w:qFormat/>
    <w:uiPriority w:val="0"/>
    <w:pPr>
      <w:spacing w:after="120"/>
    </w:pPr>
    <w:rPr>
      <w:rFonts w:ascii="Verdana" w:hAnsi="Verdana"/>
      <w:kern w:val="0"/>
      <w:sz w:val="16"/>
      <w:szCs w:val="16"/>
      <w:lang w:eastAsia="en-US"/>
    </w:rPr>
  </w:style>
  <w:style w:type="character" w:customStyle="1" w:styleId="290">
    <w:name w:val="正文文本 3 字符"/>
    <w:link w:val="289"/>
    <w:qFormat/>
    <w:uiPriority w:val="0"/>
    <w:rPr>
      <w:rFonts w:ascii="Verdana" w:hAnsi="Verdana" w:eastAsia="宋体" w:cs="Times New Roman"/>
      <w:sz w:val="16"/>
      <w:szCs w:val="16"/>
      <w:lang w:eastAsia="en-US"/>
    </w:rPr>
  </w:style>
  <w:style w:type="paragraph" w:customStyle="1" w:styleId="291">
    <w:name w:val="日期1"/>
    <w:basedOn w:val="1"/>
    <w:next w:val="1"/>
    <w:link w:val="292"/>
    <w:qFormat/>
    <w:uiPriority w:val="0"/>
    <w:pPr>
      <w:ind w:left="2500" w:leftChars="2500"/>
    </w:pPr>
    <w:rPr>
      <w:rFonts w:ascii="Verdana" w:hAnsi="Verdana" w:eastAsia="楷体_GB2312"/>
      <w:kern w:val="0"/>
      <w:sz w:val="32"/>
      <w:szCs w:val="28"/>
      <w:lang w:eastAsia="en-US"/>
    </w:rPr>
  </w:style>
  <w:style w:type="character" w:customStyle="1" w:styleId="292">
    <w:name w:val="日期 字符"/>
    <w:link w:val="291"/>
    <w:qFormat/>
    <w:uiPriority w:val="0"/>
    <w:rPr>
      <w:rFonts w:ascii="Verdana" w:hAnsi="Verdana" w:eastAsia="楷体_GB2312" w:cs="Times New Roman"/>
      <w:sz w:val="32"/>
      <w:szCs w:val="28"/>
      <w:lang w:eastAsia="en-US"/>
    </w:rPr>
  </w:style>
  <w:style w:type="paragraph" w:customStyle="1" w:styleId="293">
    <w:name w:val="正文文本缩进 21"/>
    <w:basedOn w:val="1"/>
    <w:next w:val="29"/>
    <w:link w:val="294"/>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hAnsi="Verdana"/>
      <w:color w:val="000000"/>
      <w:kern w:val="0"/>
      <w:sz w:val="24"/>
      <w:szCs w:val="20"/>
      <w:lang w:eastAsia="en-US"/>
    </w:rPr>
  </w:style>
  <w:style w:type="character" w:customStyle="1" w:styleId="294">
    <w:name w:val="正文文本缩进 2 字符1"/>
    <w:link w:val="293"/>
    <w:qFormat/>
    <w:uiPriority w:val="0"/>
    <w:rPr>
      <w:rFonts w:ascii="宋体" w:hAnsi="Verdana" w:eastAsia="宋体" w:cs="Times New Roman"/>
      <w:color w:val="000000"/>
      <w:sz w:val="24"/>
      <w:lang w:eastAsia="en-US"/>
    </w:rPr>
  </w:style>
  <w:style w:type="paragraph" w:customStyle="1" w:styleId="295">
    <w:name w:val="TOC 标题2"/>
    <w:basedOn w:val="4"/>
    <w:next w:val="1"/>
    <w:qFormat/>
    <w:uiPriority w:val="39"/>
    <w:pPr>
      <w:widowControl/>
      <w:spacing w:before="480" w:after="0" w:line="276" w:lineRule="auto"/>
      <w:jc w:val="left"/>
      <w:outlineLvl w:val="9"/>
    </w:pPr>
    <w:rPr>
      <w:rFonts w:ascii="Cambria" w:hAnsi="Cambria"/>
      <w:b w:val="0"/>
      <w:color w:val="365F91"/>
      <w:kern w:val="0"/>
      <w:sz w:val="28"/>
      <w:szCs w:val="28"/>
    </w:rPr>
  </w:style>
  <w:style w:type="paragraph" w:customStyle="1" w:styleId="296">
    <w:name w:val="正文文本缩进 31"/>
    <w:basedOn w:val="1"/>
    <w:next w:val="39"/>
    <w:link w:val="297"/>
    <w:qFormat/>
    <w:uiPriority w:val="0"/>
    <w:pPr>
      <w:autoSpaceDE w:val="0"/>
      <w:autoSpaceDN w:val="0"/>
      <w:adjustRightInd w:val="0"/>
      <w:spacing w:line="360" w:lineRule="atLeast"/>
      <w:ind w:left="1853"/>
      <w:jc w:val="center"/>
    </w:pPr>
    <w:rPr>
      <w:rFonts w:ascii="宋体" w:hAnsi="Verdana"/>
      <w:b/>
      <w:color w:val="000000"/>
      <w:kern w:val="0"/>
      <w:sz w:val="36"/>
      <w:lang w:eastAsia="en-US"/>
    </w:rPr>
  </w:style>
  <w:style w:type="character" w:customStyle="1" w:styleId="297">
    <w:name w:val="正文文本缩进 3 字符"/>
    <w:link w:val="296"/>
    <w:qFormat/>
    <w:uiPriority w:val="0"/>
    <w:rPr>
      <w:rFonts w:ascii="宋体" w:hAnsi="Verdana" w:eastAsia="宋体" w:cs="Times New Roman"/>
      <w:b/>
      <w:color w:val="000000"/>
      <w:sz w:val="36"/>
      <w:szCs w:val="24"/>
      <w:lang w:eastAsia="en-US"/>
    </w:rPr>
  </w:style>
  <w:style w:type="paragraph" w:customStyle="1" w:styleId="298">
    <w:name w:val="正文文本 21"/>
    <w:basedOn w:val="1"/>
    <w:next w:val="41"/>
    <w:link w:val="299"/>
    <w:qFormat/>
    <w:uiPriority w:val="0"/>
    <w:pPr>
      <w:autoSpaceDE w:val="0"/>
      <w:autoSpaceDN w:val="0"/>
      <w:adjustRightInd w:val="0"/>
      <w:spacing w:line="360" w:lineRule="auto"/>
    </w:pPr>
    <w:rPr>
      <w:rFonts w:ascii="宋体" w:hAnsi="Verdana"/>
      <w:color w:val="000000"/>
      <w:kern w:val="0"/>
      <w:sz w:val="24"/>
      <w:lang w:eastAsia="en-US"/>
    </w:rPr>
  </w:style>
  <w:style w:type="character" w:customStyle="1" w:styleId="299">
    <w:name w:val="正文文本 2 字符"/>
    <w:link w:val="298"/>
    <w:qFormat/>
    <w:uiPriority w:val="0"/>
    <w:rPr>
      <w:rFonts w:ascii="宋体" w:hAnsi="Verdana" w:eastAsia="宋体" w:cs="Times New Roman"/>
      <w:color w:val="000000"/>
      <w:sz w:val="24"/>
      <w:szCs w:val="24"/>
      <w:lang w:eastAsia="en-US"/>
    </w:rPr>
  </w:style>
  <w:style w:type="character" w:customStyle="1" w:styleId="300">
    <w:name w:val="访问过的超链接1"/>
    <w:qFormat/>
    <w:uiPriority w:val="0"/>
    <w:rPr>
      <w:rFonts w:ascii="Verdana" w:hAnsi="Verdana" w:eastAsia="宋体"/>
      <w:color w:val="800080"/>
      <w:sz w:val="28"/>
      <w:szCs w:val="28"/>
      <w:u w:val="single"/>
      <w:lang w:val="en-US" w:eastAsia="en-US" w:bidi="ar-SA"/>
    </w:rPr>
  </w:style>
  <w:style w:type="character" w:customStyle="1" w:styleId="301">
    <w:name w:val="标题 2 字符"/>
    <w:qFormat/>
    <w:uiPriority w:val="0"/>
    <w:rPr>
      <w:rFonts w:ascii="Cambria" w:hAnsi="Cambria" w:eastAsia="宋体" w:cs="Times New Roman"/>
      <w:b/>
      <w:bCs/>
      <w:sz w:val="32"/>
      <w:szCs w:val="32"/>
      <w:lang w:val="en-US" w:eastAsia="en-US" w:bidi="ar-SA"/>
    </w:rPr>
  </w:style>
  <w:style w:type="character" w:customStyle="1" w:styleId="302">
    <w:name w:val="标题 4 字符"/>
    <w:qFormat/>
    <w:uiPriority w:val="0"/>
    <w:rPr>
      <w:rFonts w:ascii="Cambria" w:hAnsi="Cambria" w:eastAsia="宋体" w:cs="Times New Roman"/>
      <w:b/>
      <w:bCs/>
      <w:sz w:val="28"/>
      <w:szCs w:val="28"/>
      <w:lang w:val="en-US" w:eastAsia="en-US" w:bidi="ar-SA"/>
    </w:rPr>
  </w:style>
  <w:style w:type="character" w:customStyle="1" w:styleId="303">
    <w:name w:val="标题 5 字符"/>
    <w:qFormat/>
    <w:uiPriority w:val="0"/>
    <w:rPr>
      <w:rFonts w:ascii="Times New Roman" w:hAnsi="Times New Roman" w:eastAsia="宋体" w:cs="Times New Roman"/>
      <w:b/>
      <w:bCs/>
      <w:kern w:val="0"/>
      <w:sz w:val="28"/>
      <w:szCs w:val="28"/>
      <w:lang w:val="en-US" w:eastAsia="en-US" w:bidi="ar-SA"/>
    </w:rPr>
  </w:style>
  <w:style w:type="character" w:customStyle="1" w:styleId="304">
    <w:name w:val="标题 7 字符"/>
    <w:qFormat/>
    <w:uiPriority w:val="0"/>
    <w:rPr>
      <w:rFonts w:ascii="Times New Roman" w:hAnsi="Times New Roman" w:eastAsia="宋体" w:cs="Times New Roman"/>
      <w:b/>
      <w:bCs/>
      <w:kern w:val="0"/>
      <w:sz w:val="24"/>
      <w:szCs w:val="24"/>
      <w:lang w:val="en-US" w:eastAsia="en-US" w:bidi="ar-SA"/>
    </w:rPr>
  </w:style>
  <w:style w:type="character" w:customStyle="1" w:styleId="305">
    <w:name w:val="标题 8 字符"/>
    <w:qFormat/>
    <w:uiPriority w:val="0"/>
    <w:rPr>
      <w:rFonts w:ascii="Arial" w:hAnsi="Arial" w:eastAsia="黑体" w:cs="Times New Roman"/>
      <w:kern w:val="0"/>
      <w:sz w:val="24"/>
      <w:szCs w:val="24"/>
      <w:lang w:val="en-US" w:eastAsia="en-US" w:bidi="ar-SA"/>
    </w:rPr>
  </w:style>
  <w:style w:type="character" w:customStyle="1" w:styleId="306">
    <w:name w:val="标题 9 字符"/>
    <w:qFormat/>
    <w:uiPriority w:val="0"/>
    <w:rPr>
      <w:rFonts w:ascii="Arial" w:hAnsi="Arial" w:eastAsia="黑体" w:cs="Times New Roman"/>
      <w:kern w:val="0"/>
      <w:sz w:val="28"/>
      <w:szCs w:val="21"/>
      <w:lang w:val="en-US" w:eastAsia="en-US" w:bidi="ar-SA"/>
    </w:rPr>
  </w:style>
  <w:style w:type="character" w:customStyle="1" w:styleId="307">
    <w:name w:val="页眉 字符"/>
    <w:qFormat/>
    <w:uiPriority w:val="0"/>
    <w:rPr>
      <w:rFonts w:ascii="Verdana" w:hAnsi="Verdana" w:eastAsia="宋体"/>
      <w:sz w:val="18"/>
      <w:szCs w:val="18"/>
      <w:lang w:val="en-US" w:eastAsia="en-US" w:bidi="ar-SA"/>
    </w:rPr>
  </w:style>
  <w:style w:type="character" w:customStyle="1" w:styleId="308">
    <w:name w:val="页脚 字符"/>
    <w:qFormat/>
    <w:uiPriority w:val="99"/>
    <w:rPr>
      <w:rFonts w:ascii="Verdana" w:hAnsi="Verdana" w:eastAsia="宋体"/>
      <w:sz w:val="18"/>
      <w:szCs w:val="18"/>
      <w:lang w:val="en-US" w:eastAsia="en-US" w:bidi="ar-SA"/>
    </w:rPr>
  </w:style>
  <w:style w:type="paragraph" w:customStyle="1" w:styleId="309">
    <w:name w:val="无间隔2"/>
    <w:next w:val="192"/>
    <w:qFormat/>
    <w:uiPriority w:val="1"/>
    <w:pPr>
      <w:widowControl w:val="0"/>
      <w:autoSpaceDE w:val="0"/>
      <w:autoSpaceDN w:val="0"/>
      <w:adjustRightInd w:val="0"/>
      <w:jc w:val="both"/>
      <w:textAlignment w:val="baseline"/>
    </w:pPr>
    <w:rPr>
      <w:rFonts w:ascii="Calibri" w:hAnsi="Calibri" w:eastAsia="宋体" w:cs="Times New Roman"/>
      <w:kern w:val="2"/>
      <w:sz w:val="21"/>
      <w:szCs w:val="22"/>
      <w:lang w:val="en-US" w:eastAsia="zh-CN" w:bidi="ar-SA"/>
    </w:rPr>
  </w:style>
  <w:style w:type="character" w:customStyle="1" w:styleId="310">
    <w:name w:val="font101"/>
    <w:qFormat/>
    <w:uiPriority w:val="0"/>
    <w:rPr>
      <w:rFonts w:hint="eastAsia" w:ascii="宋体" w:hAnsi="宋体" w:eastAsia="宋体" w:cs="宋体"/>
      <w:color w:val="FF0000"/>
      <w:sz w:val="22"/>
      <w:szCs w:val="22"/>
      <w:u w:val="none"/>
      <w:lang w:val="en-US" w:eastAsia="en-US" w:bidi="ar-SA"/>
    </w:rPr>
  </w:style>
  <w:style w:type="character" w:customStyle="1" w:styleId="311">
    <w:name w:val="font111"/>
    <w:basedOn w:val="49"/>
    <w:qFormat/>
    <w:uiPriority w:val="0"/>
    <w:rPr>
      <w:rFonts w:hint="default" w:ascii="Arial" w:hAnsi="Arial" w:cs="Arial"/>
      <w:color w:val="FF0000"/>
      <w:sz w:val="18"/>
      <w:szCs w:val="18"/>
      <w:u w:val="none"/>
    </w:rPr>
  </w:style>
  <w:style w:type="character" w:customStyle="1" w:styleId="312">
    <w:name w:val="font91"/>
    <w:basedOn w:val="49"/>
    <w:qFormat/>
    <w:uiPriority w:val="0"/>
    <w:rPr>
      <w:rFonts w:hint="eastAsia" w:ascii="宋体" w:hAnsi="宋体" w:eastAsia="宋体" w:cs="宋体"/>
      <w:color w:val="FF0000"/>
      <w:sz w:val="18"/>
      <w:szCs w:val="18"/>
      <w:u w:val="none"/>
    </w:rPr>
  </w:style>
  <w:style w:type="character" w:customStyle="1" w:styleId="313">
    <w:name w:val="font141"/>
    <w:basedOn w:val="49"/>
    <w:qFormat/>
    <w:uiPriority w:val="0"/>
    <w:rPr>
      <w:rFonts w:hint="default" w:ascii="Arial" w:hAnsi="Arial" w:cs="Arial"/>
      <w:color w:val="000000"/>
      <w:sz w:val="22"/>
      <w:szCs w:val="22"/>
      <w:u w:val="none"/>
    </w:rPr>
  </w:style>
  <w:style w:type="character" w:customStyle="1" w:styleId="314">
    <w:name w:val="font122"/>
    <w:basedOn w:val="49"/>
    <w:qFormat/>
    <w:uiPriority w:val="0"/>
    <w:rPr>
      <w:rFonts w:hint="default" w:ascii="Arial" w:hAnsi="Arial" w:cs="Arial"/>
      <w:color w:val="000000"/>
      <w:sz w:val="20"/>
      <w:szCs w:val="20"/>
      <w:u w:val="none"/>
    </w:rPr>
  </w:style>
  <w:style w:type="character" w:customStyle="1" w:styleId="315">
    <w:name w:val="font131"/>
    <w:basedOn w:val="49"/>
    <w:qFormat/>
    <w:uiPriority w:val="0"/>
    <w:rPr>
      <w:rFonts w:hint="eastAsia" w:ascii="宋体" w:hAnsi="宋体" w:eastAsia="宋体" w:cs="宋体"/>
      <w:color w:val="000000"/>
      <w:sz w:val="20"/>
      <w:szCs w:val="20"/>
      <w:u w:val="none"/>
    </w:rPr>
  </w:style>
  <w:style w:type="character" w:customStyle="1" w:styleId="316">
    <w:name w:val="font81"/>
    <w:basedOn w:val="49"/>
    <w:qFormat/>
    <w:uiPriority w:val="0"/>
    <w:rPr>
      <w:rFonts w:hint="default" w:ascii="Calibri" w:hAnsi="Calibri" w:cs="Calibri"/>
      <w:color w:val="000000"/>
      <w:sz w:val="18"/>
      <w:szCs w:val="18"/>
      <w:u w:val="none"/>
    </w:rPr>
  </w:style>
  <w:style w:type="paragraph" w:customStyle="1" w:styleId="317">
    <w:name w:val="Normal Indent1"/>
    <w:qFormat/>
    <w:uiPriority w:val="0"/>
    <w:pPr>
      <w:widowControl w:val="0"/>
      <w:ind w:firstLine="4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31426</Words>
  <Characters>33641</Characters>
  <Lines>267</Lines>
  <Paragraphs>75</Paragraphs>
  <TotalTime>9</TotalTime>
  <ScaleCrop>false</ScaleCrop>
  <LinksUpToDate>false</LinksUpToDate>
  <CharactersWithSpaces>34608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2022-12-16T16:27:00Z</dcterms:created>
  <dc:creator>戴艳燕</dc:creator>
  <cp:lastModifiedBy>王不羁</cp:lastModifiedBy>
  <cp:lastPrinted>2023-03-15T14:19:00Z</cp:lastPrinted>
  <dcterms:modified xsi:type="dcterms:W3CDTF">2023-10-20T06:04:10Z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A848F1784A8E43C7B6C4DC7FDD76FE71_13</vt:lpwstr>
  </property>
</Properties>
</file>